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4583746">
      <w:pPr>
        <w:pStyle w:val="style0"/>
        <w:spacing w:lineRule="auto" w:line="3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3BFBEBCA"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Accounting Methods of Greenhouse Gas Emissions f</w:t>
      </w:r>
      <w:r>
        <w:rPr>
          <w:rFonts w:ascii="Times New Roman" w:cs="Times New Roman" w:hAnsi="Times New Roman" w:hint="eastAsia"/>
          <w:b/>
          <w:sz w:val="28"/>
          <w:szCs w:val="28"/>
        </w:rPr>
        <w:t>r</w:t>
      </w:r>
      <w:r>
        <w:rPr>
          <w:rFonts w:ascii="Times New Roman" w:cs="Times New Roman" w:hAnsi="Times New Roman" w:hint="eastAsia"/>
          <w:b/>
          <w:sz w:val="28"/>
          <w:szCs w:val="28"/>
        </w:rPr>
        <w:t>om</w:t>
      </w:r>
      <w:r>
        <w:rPr>
          <w:rFonts w:ascii="Times New Roman" w:cs="Times New Roman" w:hAnsi="Times New Roman"/>
          <w:b/>
          <w:sz w:val="28"/>
          <w:szCs w:val="28"/>
        </w:rPr>
        <w:t xml:space="preserve"> Wastewater Treatment Plants</w:t>
      </w:r>
    </w:p>
    <w:p w14:paraId="70383D4F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 w14:paraId="6F4DAB9B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Abstract:</w:t>
      </w:r>
    </w:p>
    <w:p w14:paraId="57F8FB4C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Fonts w:ascii="Times New Roman" w:cs="Times New Roman" w:hAnsi="Times New Roman" w:hint="eastAsia"/>
          <w:sz w:val="28"/>
          <w:szCs w:val="28"/>
        </w:rPr>
        <w:t>T</w:t>
      </w:r>
      <w:r>
        <w:rPr>
          <w:rFonts w:ascii="Times New Roman" w:cs="Times New Roman" w:hAnsi="Times New Roman"/>
          <w:sz w:val="28"/>
          <w:szCs w:val="28"/>
        </w:rPr>
        <w:t xml:space="preserve">his document specifies </w:t>
      </w:r>
      <w:r>
        <w:rPr>
          <w:rFonts w:ascii="Times New Roman" w:cs="Times New Roman" w:hAnsi="Times New Roman" w:hint="eastAsia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</w:rPr>
        <w:t>accounting boundar</w:t>
      </w:r>
      <w:r>
        <w:rPr>
          <w:rFonts w:ascii="Times New Roman" w:cs="Times New Roman" w:hAnsi="Times New Roman" w:hint="eastAsia"/>
          <w:sz w:val="28"/>
          <w:szCs w:val="28"/>
        </w:rPr>
        <w:t>ies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procedures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 w:hint="eastAsia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methods, </w:t>
      </w:r>
      <w:r>
        <w:rPr>
          <w:rFonts w:ascii="Times New Roman" w:cs="Times New Roman" w:hAnsi="Times New Roman" w:hint="eastAsia"/>
          <w:sz w:val="28"/>
          <w:szCs w:val="28"/>
        </w:rPr>
        <w:t xml:space="preserve">and </w:t>
      </w:r>
      <w:r>
        <w:rPr>
          <w:rFonts w:ascii="Times New Roman" w:cs="Times New Roman" w:hAnsi="Times New Roman"/>
          <w:sz w:val="28"/>
          <w:szCs w:val="28"/>
        </w:rPr>
        <w:t xml:space="preserve">calculation of localized emission factors for greenhouse gas </w:t>
      </w:r>
      <w:r>
        <w:rPr>
          <w:rFonts w:ascii="Times New Roman" w:cs="Times New Roman" w:hAnsi="Times New Roman"/>
          <w:sz w:val="28"/>
          <w:szCs w:val="28"/>
        </w:rPr>
        <w:t>(GHG) emissions from municipal and industrial wastewater treatment plants (WWTPs).</w:t>
      </w:r>
    </w:p>
    <w:p w14:paraId="7AD705A6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eastAsia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. The accounting and reporting boundary of GHG emissions should be defined at the level of legal entity or an independent accounting unit corresponding to a legal person. </w:t>
      </w:r>
      <w:r>
        <w:rPr>
          <w:rFonts w:ascii="Times New Roman" w:cs="Times New Roman" w:hAnsi="Times New Roman" w:hint="eastAsia"/>
          <w:sz w:val="28"/>
          <w:szCs w:val="28"/>
        </w:rPr>
        <w:t>I</w:t>
      </w:r>
      <w:r>
        <w:rPr>
          <w:rFonts w:ascii="Times New Roman" w:cs="Times New Roman" w:hAnsi="Times New Roman" w:hint="eastAsia"/>
          <w:sz w:val="28"/>
          <w:szCs w:val="28"/>
        </w:rPr>
        <w:t>t e</w:t>
      </w:r>
      <w:r>
        <w:rPr>
          <w:rFonts w:ascii="Times New Roman" w:cs="Times New Roman" w:hAnsi="Times New Roman" w:hint="eastAsia"/>
          <w:sz w:val="28"/>
          <w:szCs w:val="28"/>
        </w:rPr>
        <w:t xml:space="preserve">ncompasses </w:t>
      </w:r>
      <w:r>
        <w:rPr>
          <w:rFonts w:ascii="Times New Roman" w:cs="Times New Roman" w:hAnsi="Times New Roman"/>
          <w:sz w:val="28"/>
          <w:szCs w:val="28"/>
        </w:rPr>
        <w:t>GHG emissions across the entire production system, including core production systems (e.g.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wastewater treatment and sludge disposal systems), auxiliary production systems (e.g.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power supply</w:t>
      </w:r>
      <w:r>
        <w:rPr>
          <w:rFonts w:ascii="Times New Roman" w:cs="Times New Roman" w:hAnsi="Times New Roman" w:hint="eastAsia"/>
          <w:sz w:val="28"/>
          <w:szCs w:val="28"/>
        </w:rPr>
        <w:t xml:space="preserve"> and</w:t>
      </w:r>
      <w:r>
        <w:rPr>
          <w:rFonts w:ascii="Times New Roman" w:cs="Times New Roman" w:hAnsi="Times New Roman"/>
          <w:sz w:val="28"/>
          <w:szCs w:val="28"/>
        </w:rPr>
        <w:t xml:space="preserve"> maintenance systems), and ancillary pr</w:t>
      </w:r>
      <w:r>
        <w:rPr>
          <w:rFonts w:ascii="Times New Roman" w:cs="Times New Roman" w:hAnsi="Times New Roman"/>
          <w:sz w:val="28"/>
          <w:szCs w:val="28"/>
        </w:rPr>
        <w:t>oduction systems (e.g.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operat</w:t>
      </w:r>
      <w:r>
        <w:rPr>
          <w:rFonts w:ascii="Times New Roman" w:cs="Times New Roman" w:hAnsi="Times New Roman" w:hint="eastAsia"/>
          <w:sz w:val="28"/>
          <w:szCs w:val="28"/>
        </w:rPr>
        <w:t>ional</w:t>
      </w:r>
      <w:r>
        <w:rPr>
          <w:rFonts w:ascii="Times New Roman" w:cs="Times New Roman" w:hAnsi="Times New Roman"/>
          <w:sz w:val="28"/>
          <w:szCs w:val="28"/>
        </w:rPr>
        <w:t xml:space="preserve"> management system).</w:t>
      </w:r>
    </w:p>
    <w:p w14:paraId="3A5777D3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 GHG emissions </w:t>
      </w:r>
      <w:r>
        <w:rPr>
          <w:rFonts w:ascii="Times New Roman" w:cs="Times New Roman" w:hAnsi="Times New Roman" w:hint="eastAsia"/>
          <w:sz w:val="28"/>
          <w:szCs w:val="28"/>
        </w:rPr>
        <w:t xml:space="preserve">to be accounted for </w:t>
      </w:r>
      <w:r>
        <w:rPr>
          <w:rFonts w:ascii="Times New Roman" w:cs="Times New Roman" w:hAnsi="Times New Roman"/>
          <w:sz w:val="28"/>
          <w:szCs w:val="28"/>
        </w:rPr>
        <w:t>includ</w:t>
      </w:r>
      <w:r>
        <w:rPr>
          <w:rFonts w:ascii="Times New Roman" w:cs="Times New Roman" w:hAnsi="Times New Roman" w:hint="eastAsia"/>
          <w:sz w:val="28"/>
          <w:szCs w:val="28"/>
        </w:rPr>
        <w:t>e:</w:t>
      </w:r>
      <w:r>
        <w:rPr>
          <w:rFonts w:ascii="Times New Roman" w:cs="Times New Roman" w:hAnsi="Times New Roman" w:hint="eastAsia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methane (CH</w:t>
      </w:r>
      <w:r>
        <w:rPr>
          <w:rFonts w:ascii="Times New Roman" w:cs="Times New Roman" w:hAnsi="Times New Roman"/>
          <w:sz w:val="28"/>
          <w:szCs w:val="28"/>
          <w:vertAlign w:val="subscript"/>
        </w:rPr>
        <w:t>4</w:t>
      </w:r>
      <w:r>
        <w:rPr>
          <w:rFonts w:ascii="Times New Roman" w:cs="Times New Roman" w:hAnsi="Times New Roman"/>
          <w:sz w:val="28"/>
          <w:szCs w:val="28"/>
        </w:rPr>
        <w:t>) and nitrous oxide (N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O) emissions </w:t>
      </w:r>
      <w:r>
        <w:rPr>
          <w:rFonts w:ascii="Times New Roman" w:cs="Times New Roman" w:hAnsi="Times New Roman" w:hint="eastAsia"/>
          <w:sz w:val="28"/>
          <w:szCs w:val="28"/>
        </w:rPr>
        <w:t>from</w:t>
      </w:r>
      <w:r>
        <w:rPr>
          <w:rFonts w:ascii="Times New Roman" w:cs="Times New Roman" w:hAnsi="Times New Roman"/>
          <w:sz w:val="28"/>
          <w:szCs w:val="28"/>
        </w:rPr>
        <w:t xml:space="preserve"> wastewater treatment and sludge disposal processes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carbon </w:t>
      </w:r>
      <w:r>
        <w:rPr>
          <w:rFonts w:ascii="Times New Roman" w:cs="Times New Roman" w:hAnsi="Times New Roman" w:hint="eastAsia"/>
          <w:sz w:val="28"/>
          <w:szCs w:val="28"/>
        </w:rPr>
        <w:t>di</w:t>
      </w:r>
      <w:r>
        <w:rPr>
          <w:rFonts w:ascii="Times New Roman" w:cs="Times New Roman" w:hAnsi="Times New Roman"/>
          <w:sz w:val="28"/>
          <w:szCs w:val="28"/>
        </w:rPr>
        <w:t>oxide (CO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) emissions from </w:t>
      </w:r>
      <w:r>
        <w:rPr>
          <w:rFonts w:ascii="Times New Roman" w:cs="Times New Roman" w:hAnsi="Times New Roman"/>
          <w:sz w:val="28"/>
          <w:szCs w:val="28"/>
        </w:rPr>
        <w:t>fossil fuel combustion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carbon </w:t>
      </w:r>
      <w:r>
        <w:rPr>
          <w:rFonts w:ascii="Times New Roman" w:cs="Times New Roman" w:hAnsi="Times New Roman" w:hint="eastAsia"/>
          <w:sz w:val="28"/>
          <w:szCs w:val="28"/>
        </w:rPr>
        <w:t>di</w:t>
      </w:r>
      <w:r>
        <w:rPr>
          <w:rFonts w:ascii="Times New Roman" w:cs="Times New Roman" w:hAnsi="Times New Roman"/>
          <w:sz w:val="28"/>
          <w:szCs w:val="28"/>
        </w:rPr>
        <w:t>oxide (CO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) emissions from chemical dosing, </w:t>
      </w:r>
      <w:r>
        <w:rPr>
          <w:rFonts w:ascii="Times New Roman" w:cs="Times New Roman" w:hAnsi="Times New Roman" w:hint="eastAsia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 w:hint="eastAsia"/>
          <w:sz w:val="28"/>
          <w:szCs w:val="28"/>
        </w:rPr>
        <w:t>carbon dioxide (</w:t>
      </w:r>
      <w:r>
        <w:rPr>
          <w:rFonts w:ascii="Times New Roman" w:cs="Times New Roman" w:hAnsi="Times New Roman"/>
          <w:sz w:val="28"/>
          <w:szCs w:val="28"/>
        </w:rPr>
        <w:t>CO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 w:hint="eastAsia"/>
          <w:sz w:val="28"/>
          <w:szCs w:val="28"/>
        </w:rPr>
        <w:t>) emissions associated with</w:t>
      </w:r>
      <w:r>
        <w:rPr>
          <w:rFonts w:ascii="Times New Roman" w:cs="Times New Roman" w:hAnsi="Times New Roman"/>
          <w:sz w:val="28"/>
          <w:szCs w:val="28"/>
        </w:rPr>
        <w:t xml:space="preserve"> purchased electricity consumption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4CC0696F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eastAsia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>. Complete workflow for GHG emission accounting and</w:t>
      </w:r>
      <w:r>
        <w:rPr>
          <w:rFonts w:ascii="Times New Roman" w:cs="Times New Roman" w:hAnsi="Times New Roman"/>
          <w:sz w:val="28"/>
          <w:szCs w:val="28"/>
        </w:rPr>
        <w:t xml:space="preserve"> reporting </w:t>
      </w:r>
      <w:r>
        <w:rPr>
          <w:rFonts w:ascii="Times New Roman" w:cs="Times New Roman" w:hAnsi="Times New Roman"/>
          <w:sz w:val="28"/>
          <w:szCs w:val="28"/>
        </w:rPr>
        <w:t>consists of following steps:</w:t>
      </w:r>
    </w:p>
    <w:p w14:paraId="28985FA9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 Establishing the accounting boundary.</w:t>
      </w:r>
    </w:p>
    <w:p w14:paraId="3C3E0FAD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 Identifying GHG emission sources.</w:t>
      </w:r>
    </w:p>
    <w:p w14:paraId="22B5F9EB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Developing </w:t>
      </w:r>
      <w:r>
        <w:rPr>
          <w:rFonts w:ascii="Times New Roman" w:cs="Times New Roman" w:hAnsi="Times New Roman" w:hint="eastAsia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data quality control plan.</w:t>
      </w:r>
    </w:p>
    <w:p w14:paraId="55563084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(d) Collecting activity data.</w:t>
      </w:r>
    </w:p>
    <w:p w14:paraId="1BF59ACC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(e) Selecting or calculating emission factors.</w:t>
      </w:r>
    </w:p>
    <w:p w14:paraId="3EFD444F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(f) </w:t>
      </w:r>
      <w:r>
        <w:rPr>
          <w:rFonts w:ascii="Times New Roman" w:cs="Times New Roman" w:hAnsi="Times New Roman"/>
          <w:sz w:val="28"/>
          <w:szCs w:val="28"/>
        </w:rPr>
        <w:t>Calculating emissions from wastewater treatment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sludge disposal processes, fossil fuel combustion, purchased electricity and heat, and chemicals dosing.</w:t>
      </w:r>
    </w:p>
    <w:p w14:paraId="6B87CD48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(g) Aggregating GHG emissions from all emission pathways.</w:t>
      </w:r>
    </w:p>
    <w:p w14:paraId="66F2A329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(h) Completing the report.</w:t>
      </w:r>
    </w:p>
    <w:p w14:paraId="4CDBDF08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eastAsia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 w:hint="eastAsia"/>
          <w:sz w:val="28"/>
          <w:szCs w:val="28"/>
        </w:rPr>
        <w:t xml:space="preserve"> For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wastewater treatment plant </w:t>
      </w:r>
      <w:r>
        <w:rPr>
          <w:rFonts w:ascii="Times New Roman" w:cs="Times New Roman" w:hAnsi="Times New Roman" w:hint="eastAsia"/>
          <w:sz w:val="28"/>
          <w:szCs w:val="28"/>
        </w:rPr>
        <w:t>with</w:t>
      </w:r>
      <w:r>
        <w:rPr>
          <w:rFonts w:ascii="Times New Roman" w:cs="Times New Roman" w:hAnsi="Times New Roman"/>
          <w:sz w:val="28"/>
          <w:szCs w:val="28"/>
        </w:rPr>
        <w:t xml:space="preserve"> monitoring</w:t>
      </w:r>
      <w:r>
        <w:rPr>
          <w:rFonts w:ascii="Times New Roman" w:cs="Times New Roman" w:hAnsi="Times New Roman" w:hint="eastAsia"/>
          <w:sz w:val="28"/>
          <w:szCs w:val="28"/>
        </w:rPr>
        <w:t xml:space="preserve"> capabilities</w:t>
      </w:r>
      <w:r>
        <w:rPr>
          <w:rFonts w:ascii="Times New Roman" w:cs="Times New Roman" w:hAnsi="Times New Roman"/>
          <w:sz w:val="28"/>
          <w:szCs w:val="28"/>
        </w:rPr>
        <w:t>, localized emission factors should be measured and calculated through following steps:</w:t>
      </w:r>
    </w:p>
    <w:p w14:paraId="45C12047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 Establishing the accounting boundary.</w:t>
      </w:r>
    </w:p>
    <w:p w14:paraId="6E6B6C4B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</w:t>
      </w:r>
      <w:r>
        <w:rPr>
          <w:rFonts w:ascii="Times New Roman" w:cs="Times New Roman" w:hAnsi="Times New Roman" w:hint="eastAsia"/>
          <w:sz w:val="28"/>
          <w:szCs w:val="28"/>
        </w:rPr>
        <w:t>Monitoring and c</w:t>
      </w:r>
      <w:r>
        <w:rPr>
          <w:rFonts w:ascii="Times New Roman" w:cs="Times New Roman" w:hAnsi="Times New Roman"/>
          <w:sz w:val="28"/>
          <w:szCs w:val="28"/>
        </w:rPr>
        <w:t>ollecting GHG concentration</w:t>
      </w:r>
      <w:r>
        <w:rPr>
          <w:rFonts w:ascii="Times New Roman" w:cs="Times New Roman" w:hAnsi="Times New Roman" w:hint="eastAsia"/>
          <w:sz w:val="28"/>
          <w:szCs w:val="28"/>
        </w:rPr>
        <w:t xml:space="preserve"> da</w:t>
      </w:r>
      <w:r>
        <w:rPr>
          <w:rFonts w:ascii="Times New Roman" w:cs="Times New Roman" w:hAnsi="Times New Roman" w:hint="eastAsia"/>
          <w:sz w:val="28"/>
          <w:szCs w:val="28"/>
        </w:rPr>
        <w:t>ta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 w:hint="eastAsia"/>
          <w:sz w:val="28"/>
          <w:szCs w:val="28"/>
        </w:rPr>
        <w:t>from</w:t>
      </w:r>
      <w:r>
        <w:rPr>
          <w:rFonts w:ascii="Times New Roman" w:cs="Times New Roman" w:hAnsi="Times New Roman"/>
          <w:sz w:val="28"/>
          <w:szCs w:val="28"/>
        </w:rPr>
        <w:t xml:space="preserve"> various emission sources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E07088C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Calculating GHG emission flux </w:t>
      </w:r>
      <w:r>
        <w:rPr>
          <w:rFonts w:ascii="Times New Roman" w:cs="Times New Roman" w:hAnsi="Times New Roman" w:hint="eastAsia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different emission sources.</w:t>
      </w:r>
    </w:p>
    <w:p w14:paraId="6DB5FD99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(d) Calculating total GHG emission of the wastewater treatment plant.</w:t>
      </w:r>
    </w:p>
    <w:p w14:paraId="6D4FEB1D">
      <w:pPr>
        <w:pStyle w:val="style0"/>
        <w:spacing w:lineRule="auto" w:line="360"/>
        <w:ind w:firstLine="560" w:firstLineChars="2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(e) Calculating</w:t>
      </w:r>
      <w:r>
        <w:rPr>
          <w:rFonts w:ascii="Times New Roman" w:cs="Times New Roman" w:hAnsi="Times New Roman" w:hint="eastAsia"/>
          <w:sz w:val="28"/>
          <w:szCs w:val="28"/>
        </w:rPr>
        <w:t xml:space="preserve"> the</w:t>
      </w:r>
      <w:r>
        <w:rPr>
          <w:rFonts w:ascii="Times New Roman" w:cs="Times New Roman" w:hAnsi="Times New Roman"/>
          <w:sz w:val="28"/>
          <w:szCs w:val="28"/>
        </w:rPr>
        <w:t xml:space="preserve"> localized emission factors (e.g.</w:t>
      </w:r>
      <w:r>
        <w:rPr>
          <w:rFonts w:ascii="Times New Roman" w:cs="Times New Roman" w:hAnsi="Times New Roman" w:hint="eastAsia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CH</w:t>
      </w:r>
      <w:r>
        <w:rPr>
          <w:rFonts w:ascii="Times New Roman" w:cs="Times New Roman" w:hAnsi="Times New Roman"/>
          <w:sz w:val="28"/>
          <w:szCs w:val="28"/>
          <w:vertAlign w:val="subscript"/>
        </w:rPr>
        <w:t>4</w:t>
      </w:r>
      <w:r>
        <w:rPr>
          <w:rFonts w:ascii="Times New Roman" w:cs="Times New Roman" w:hAnsi="Times New Roman"/>
          <w:sz w:val="28"/>
          <w:szCs w:val="28"/>
        </w:rPr>
        <w:t>, N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>O).</w:t>
      </w:r>
    </w:p>
    <w:p w14:paraId="42096950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eastAsia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>. Data quality,</w:t>
      </w:r>
      <w:r>
        <w:rPr>
          <w:rFonts w:ascii="Times New Roman" w:cs="Times New Roman" w:hAnsi="Times New Roman"/>
          <w:sz w:val="28"/>
          <w:szCs w:val="28"/>
        </w:rPr>
        <w:t xml:space="preserve"> for both accounting and monitoring, should be managed through rigorous </w:t>
      </w:r>
      <w:r>
        <w:rPr>
          <w:rFonts w:ascii="Times New Roman" w:cs="Times New Roman" w:hAnsi="Times New Roman" w:hint="eastAsia"/>
          <w:sz w:val="28"/>
          <w:szCs w:val="28"/>
        </w:rPr>
        <w:t>procedures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33845F5E"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eastAsia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 Localized emission factors for wastewater treatment and sludge disposal processes were calculated as below:</w:t>
      </w:r>
    </w:p>
    <w:p w14:paraId="077A6C8D">
      <w:pPr>
        <w:pStyle w:val="style0"/>
        <w:spacing w:lineRule="auto" w:line="360"/>
        <w:rPr>
          <w:rFonts w:ascii="Times New Roman" w:cs="Times New Roman" w:hAnsi="Times New Roman"/>
          <w:b/>
          <w:szCs w:val="21"/>
        </w:rPr>
      </w:pPr>
      <w:r>
        <w:rPr>
          <w:rFonts w:ascii="Times New Roman" w:cs="Times New Roman" w:hAnsi="Times New Roman" w:hint="eastAsia"/>
          <w:b/>
          <w:szCs w:val="21"/>
        </w:rPr>
        <w:t>T</w:t>
      </w:r>
      <w:r>
        <w:rPr>
          <w:rFonts w:ascii="Times New Roman" w:cs="Times New Roman" w:hAnsi="Times New Roman"/>
          <w:b/>
          <w:szCs w:val="21"/>
        </w:rPr>
        <w:t xml:space="preserve">able 1 </w:t>
      </w:r>
      <w:r>
        <w:rPr>
          <w:rFonts w:ascii="Times New Roman" w:cs="Times New Roman" w:hAnsi="Times New Roman"/>
          <w:b/>
          <w:szCs w:val="21"/>
        </w:rPr>
        <w:t>Localized emission factors for wastewater treatment processes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08"/>
        <w:gridCol w:w="1560"/>
        <w:gridCol w:w="1419"/>
        <w:gridCol w:w="1560"/>
        <w:gridCol w:w="1921"/>
      </w:tblGrid>
      <w:tr w14:paraId="6E0A99BE">
        <w:trPr>
          <w:trHeight w:val="270" w:hRule="atLeast"/>
        </w:trPr>
        <w:tc>
          <w:tcPr>
            <w:tcW w:w="680" w:type="pct"/>
            <w:tcBorders/>
            <w:noWrap/>
            <w:vAlign w:val="center"/>
          </w:tcPr>
          <w:p w14:paraId="661949D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ype of WWTPs</w:t>
            </w:r>
          </w:p>
        </w:tc>
        <w:tc>
          <w:tcPr>
            <w:tcW w:w="1367" w:type="pct"/>
            <w:gridSpan w:val="2"/>
            <w:tcBorders/>
            <w:noWrap/>
            <w:vAlign w:val="center"/>
          </w:tcPr>
          <w:p w14:paraId="1D0B4D1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Type of GHGs / treatment process</w:t>
            </w:r>
          </w:p>
        </w:tc>
        <w:tc>
          <w:tcPr>
            <w:tcW w:w="855" w:type="pct"/>
            <w:tcBorders/>
            <w:noWrap/>
            <w:vAlign w:val="center"/>
          </w:tcPr>
          <w:p w14:paraId="5DCC16C3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Default value</w:t>
            </w:r>
          </w:p>
        </w:tc>
        <w:tc>
          <w:tcPr>
            <w:tcW w:w="940" w:type="pct"/>
            <w:tcBorders/>
            <w:noWrap/>
            <w:vAlign w:val="center"/>
          </w:tcPr>
          <w:p w14:paraId="145D874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Range</w:t>
            </w:r>
          </w:p>
        </w:tc>
        <w:tc>
          <w:tcPr>
            <w:tcW w:w="1158" w:type="pct"/>
            <w:tcBorders/>
            <w:noWrap/>
            <w:vAlign w:val="center"/>
          </w:tcPr>
          <w:p w14:paraId="337CB64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nit</w:t>
            </w:r>
          </w:p>
        </w:tc>
      </w:tr>
      <w:tr w14:paraId="482EE7CA">
        <w:tblPrEx/>
        <w:trPr>
          <w:trHeight w:val="272" w:hRule="atLeast"/>
        </w:trPr>
        <w:tc>
          <w:tcPr>
            <w:tcW w:w="680" w:type="pct"/>
            <w:vMerge w:val="restart"/>
            <w:tcBorders/>
            <w:noWrap/>
            <w:vAlign w:val="center"/>
          </w:tcPr>
          <w:p w14:paraId="72106D3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unicipal WWTPs</w:t>
            </w:r>
          </w:p>
        </w:tc>
        <w:tc>
          <w:tcPr>
            <w:tcW w:w="427" w:type="pct"/>
            <w:vMerge w:val="restart"/>
            <w:tcBorders/>
            <w:noWrap/>
            <w:vAlign w:val="center"/>
          </w:tcPr>
          <w:p w14:paraId="3E98461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40" w:type="pct"/>
            <w:tcBorders/>
            <w:noWrap/>
            <w:vAlign w:val="center"/>
          </w:tcPr>
          <w:p w14:paraId="01EC307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/O</w:t>
            </w:r>
          </w:p>
        </w:tc>
        <w:tc>
          <w:tcPr>
            <w:tcW w:w="855" w:type="pct"/>
            <w:tcBorders/>
            <w:noWrap/>
            <w:vAlign w:val="center"/>
          </w:tcPr>
          <w:p w14:paraId="7C1E762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7.7×10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34C258CF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158" w:type="pct"/>
            <w:tcBorders/>
            <w:noWrap/>
            <w:vAlign w:val="center"/>
          </w:tcPr>
          <w:p w14:paraId="4A3AAE86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kgCH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/kgCOD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72E2C54C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35BC5C72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67B98B44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01F2CAA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Oxidation ditch</w:t>
            </w:r>
          </w:p>
        </w:tc>
        <w:tc>
          <w:tcPr>
            <w:tcW w:w="855" w:type="pct"/>
            <w:tcBorders/>
            <w:noWrap/>
            <w:vAlign w:val="center"/>
          </w:tcPr>
          <w:p w14:paraId="297B634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40" w:type="pct"/>
            <w:tcBorders/>
            <w:noWrap/>
            <w:vAlign w:val="center"/>
          </w:tcPr>
          <w:p w14:paraId="56277FB9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58" w:type="pct"/>
            <w:tcBorders/>
            <w:noWrap/>
            <w:vAlign w:val="center"/>
          </w:tcPr>
          <w:p w14:paraId="64DB60C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kgCH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/kgCOD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3CE0D763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61CAE9A7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2A0446A2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0A05D85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Unitank</w:t>
            </w:r>
          </w:p>
        </w:tc>
        <w:tc>
          <w:tcPr>
            <w:tcW w:w="855" w:type="pct"/>
            <w:tcBorders/>
            <w:noWrap/>
            <w:vAlign w:val="center"/>
          </w:tcPr>
          <w:p w14:paraId="6C5FAB88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7425504E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-7×10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58" w:type="pct"/>
            <w:tcBorders/>
            <w:noWrap/>
            <w:vAlign w:val="center"/>
          </w:tcPr>
          <w:p w14:paraId="78DF4A2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kgCH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/kgCOD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581C8019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17CF1BD5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5525543A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0CEEEAC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Mean</w:t>
            </w:r>
          </w:p>
        </w:tc>
        <w:tc>
          <w:tcPr>
            <w:tcW w:w="855" w:type="pct"/>
            <w:tcBorders/>
            <w:noWrap/>
            <w:vAlign w:val="center"/>
          </w:tcPr>
          <w:p w14:paraId="4C26463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6304DA5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158" w:type="pct"/>
            <w:tcBorders/>
            <w:noWrap/>
            <w:vAlign w:val="center"/>
          </w:tcPr>
          <w:p w14:paraId="56C33A3A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kgCH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/kgCOD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1136C19D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2BFA38A0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restart"/>
            <w:tcBorders/>
            <w:noWrap/>
            <w:vAlign w:val="center"/>
          </w:tcPr>
          <w:p w14:paraId="7035E0D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940" w:type="pct"/>
            <w:tcBorders/>
            <w:noWrap/>
            <w:vAlign w:val="center"/>
          </w:tcPr>
          <w:p w14:paraId="0E06B10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/O</w:t>
            </w:r>
          </w:p>
        </w:tc>
        <w:tc>
          <w:tcPr>
            <w:tcW w:w="855" w:type="pct"/>
            <w:tcBorders/>
            <w:noWrap/>
            <w:vAlign w:val="center"/>
          </w:tcPr>
          <w:p w14:paraId="71763B8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3.4×10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711B1AED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158" w:type="pct"/>
            <w:tcBorders/>
            <w:noWrap/>
            <w:vAlign w:val="center"/>
          </w:tcPr>
          <w:p w14:paraId="5E0F87B2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O-N/kgTN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3CECDCFD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4B80894D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1ABBC0CF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1A829BF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Oxidation ditch</w:t>
            </w:r>
          </w:p>
        </w:tc>
        <w:tc>
          <w:tcPr>
            <w:tcW w:w="855" w:type="pct"/>
            <w:tcBorders/>
            <w:noWrap/>
            <w:vAlign w:val="center"/>
          </w:tcPr>
          <w:p w14:paraId="01BF9CD8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479DE6A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158" w:type="pct"/>
            <w:tcBorders/>
            <w:noWrap/>
            <w:vAlign w:val="center"/>
          </w:tcPr>
          <w:p w14:paraId="06ADCDE3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O-N/kgTN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15372BF8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1700C24D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3310834B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0D8D559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Unitank</w:t>
            </w:r>
          </w:p>
        </w:tc>
        <w:tc>
          <w:tcPr>
            <w:tcW w:w="855" w:type="pct"/>
            <w:tcBorders/>
            <w:noWrap/>
            <w:vAlign w:val="center"/>
          </w:tcPr>
          <w:p w14:paraId="37FF09DE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2.6×10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1A401506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-7×10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58" w:type="pct"/>
            <w:tcBorders/>
            <w:noWrap/>
            <w:vAlign w:val="center"/>
          </w:tcPr>
          <w:p w14:paraId="18925F9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O-N/kgTN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03F125A2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479C389D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  <w:vMerge w:val="continue"/>
            <w:tcBorders/>
            <w:noWrap/>
            <w:vAlign w:val="center"/>
          </w:tcPr>
          <w:p w14:paraId="7274B1DD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tcBorders/>
            <w:noWrap/>
            <w:vAlign w:val="center"/>
          </w:tcPr>
          <w:p w14:paraId="63F3549C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ean</w:t>
            </w:r>
          </w:p>
        </w:tc>
        <w:tc>
          <w:tcPr>
            <w:tcW w:w="855" w:type="pct"/>
            <w:tcBorders/>
            <w:noWrap/>
            <w:vAlign w:val="center"/>
          </w:tcPr>
          <w:p w14:paraId="516097C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2BE8A95D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158" w:type="pct"/>
            <w:tcBorders/>
            <w:noWrap/>
            <w:vAlign w:val="center"/>
          </w:tcPr>
          <w:p w14:paraId="0EB0F20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O-N/kgTN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41647EE4">
        <w:tblPrEx/>
        <w:trPr>
          <w:trHeight w:val="272" w:hRule="atLeast"/>
        </w:trPr>
        <w:tc>
          <w:tcPr>
            <w:tcW w:w="680" w:type="pct"/>
            <w:vMerge w:val="restart"/>
            <w:tcBorders/>
            <w:noWrap/>
            <w:vAlign w:val="center"/>
          </w:tcPr>
          <w:p w14:paraId="7338E13E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ndustrial WWTPs</w:t>
            </w:r>
          </w:p>
        </w:tc>
        <w:tc>
          <w:tcPr>
            <w:tcW w:w="1367" w:type="pct"/>
            <w:gridSpan w:val="2"/>
            <w:tcBorders/>
            <w:noWrap/>
            <w:vAlign w:val="center"/>
          </w:tcPr>
          <w:p w14:paraId="1DB0AC23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55" w:type="pct"/>
            <w:tcBorders/>
            <w:noWrap/>
            <w:vAlign w:val="center"/>
          </w:tcPr>
          <w:p w14:paraId="0C400EB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02DD36C3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-4×10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58" w:type="pct"/>
            <w:tcBorders/>
            <w:noWrap/>
            <w:vAlign w:val="center"/>
          </w:tcPr>
          <w:p w14:paraId="339C349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kgCH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/kgCOD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  <w:tr w14:paraId="4D86B512">
        <w:tblPrEx/>
        <w:trPr>
          <w:trHeight w:val="272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2D1A187C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/>
            <w:noWrap/>
            <w:vAlign w:val="center"/>
          </w:tcPr>
          <w:p w14:paraId="2F9DCD07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855" w:type="pct"/>
            <w:tcBorders/>
            <w:noWrap/>
            <w:vAlign w:val="center"/>
          </w:tcPr>
          <w:p w14:paraId="3FAB8BB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40" w:type="pct"/>
            <w:tcBorders/>
            <w:noWrap/>
            <w:vAlign w:val="center"/>
          </w:tcPr>
          <w:p w14:paraId="152A16A9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-9×10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58" w:type="pct"/>
            <w:tcBorders/>
            <w:noWrap/>
            <w:vAlign w:val="center"/>
          </w:tcPr>
          <w:p w14:paraId="7F3C855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O-N/kgTN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Re</w:t>
            </w:r>
          </w:p>
        </w:tc>
      </w:tr>
    </w:tbl>
    <w:p w14:paraId="1B633F5C">
      <w:pPr>
        <w:pStyle w:val="style0"/>
        <w:spacing w:lineRule="auto" w:line="360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 w:hint="eastAsia"/>
          <w:szCs w:val="21"/>
        </w:rPr>
        <w:t>*</w:t>
      </w:r>
      <w:r>
        <w:rPr>
          <w:rFonts w:ascii="Times New Roman" w:cs="Times New Roman" w:hAnsi="Times New Roman"/>
          <w:szCs w:val="21"/>
        </w:rPr>
        <w:t xml:space="preserve"> </w:t>
      </w:r>
      <w:r>
        <w:rPr>
          <w:rFonts w:ascii="Times New Roman" w:cs="Times New Roman" w:hAnsi="Times New Roman"/>
          <w:szCs w:val="21"/>
          <w:vertAlign w:val="subscript"/>
        </w:rPr>
        <w:t>Re</w:t>
      </w:r>
      <w:r>
        <w:rPr>
          <w:rFonts w:ascii="Times New Roman" w:cs="Times New Roman" w:hAnsi="Times New Roman"/>
          <w:szCs w:val="21"/>
        </w:rPr>
        <w:t xml:space="preserve"> refers to contaminant removal </w:t>
      </w:r>
    </w:p>
    <w:p w14:paraId="4677DFAD">
      <w:pPr>
        <w:pStyle w:val="style0"/>
        <w:spacing w:lineRule="auto" w:line="360"/>
        <w:rPr>
          <w:rFonts w:ascii="Times New Roman" w:cs="Times New Roman" w:hAnsi="Times New Roman"/>
          <w:b/>
          <w:szCs w:val="21"/>
        </w:rPr>
      </w:pPr>
      <w:r>
        <w:rPr>
          <w:rFonts w:ascii="Times New Roman" w:cs="Times New Roman" w:hAnsi="Times New Roman" w:hint="eastAsia"/>
          <w:b/>
          <w:szCs w:val="21"/>
        </w:rPr>
        <w:t>T</w:t>
      </w:r>
      <w:r>
        <w:rPr>
          <w:rFonts w:ascii="Times New Roman" w:cs="Times New Roman" w:hAnsi="Times New Roman"/>
          <w:b/>
          <w:szCs w:val="21"/>
        </w:rPr>
        <w:t>able 2 Localized emission factors for sludge disposal processes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488"/>
        <w:gridCol w:w="1490"/>
        <w:gridCol w:w="1921"/>
      </w:tblGrid>
      <w:tr w14:paraId="3766C137">
        <w:trPr>
          <w:trHeight w:val="270" w:hRule="atLeast"/>
        </w:trPr>
        <w:tc>
          <w:tcPr>
            <w:tcW w:w="2047" w:type="pct"/>
            <w:gridSpan w:val="2"/>
            <w:tcBorders/>
            <w:noWrap/>
            <w:vAlign w:val="center"/>
          </w:tcPr>
          <w:p w14:paraId="5BB259C5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Type of GHGs / treatment process</w:t>
            </w:r>
          </w:p>
        </w:tc>
        <w:tc>
          <w:tcPr>
            <w:tcW w:w="897" w:type="pct"/>
            <w:tcBorders/>
            <w:noWrap/>
            <w:vAlign w:val="center"/>
          </w:tcPr>
          <w:p w14:paraId="40C7CFDD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Default value</w:t>
            </w:r>
          </w:p>
        </w:tc>
        <w:tc>
          <w:tcPr>
            <w:tcW w:w="898" w:type="pct"/>
            <w:tcBorders/>
            <w:noWrap/>
            <w:vAlign w:val="center"/>
          </w:tcPr>
          <w:p w14:paraId="05302E1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Range</w:t>
            </w:r>
          </w:p>
        </w:tc>
        <w:tc>
          <w:tcPr>
            <w:tcW w:w="1158" w:type="pct"/>
            <w:tcBorders/>
            <w:noWrap/>
            <w:vAlign w:val="center"/>
          </w:tcPr>
          <w:p w14:paraId="3684FEA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nit</w:t>
            </w:r>
          </w:p>
        </w:tc>
      </w:tr>
      <w:tr w14:paraId="79D4BDDA">
        <w:tblPrEx/>
        <w:trPr>
          <w:trHeight w:val="270" w:hRule="atLeast"/>
        </w:trPr>
        <w:tc>
          <w:tcPr>
            <w:tcW w:w="680" w:type="pct"/>
            <w:vMerge w:val="restart"/>
            <w:tcBorders/>
            <w:noWrap/>
            <w:vAlign w:val="center"/>
          </w:tcPr>
          <w:p w14:paraId="2ED9B35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7" w:type="pct"/>
            <w:tcBorders/>
            <w:noWrap/>
            <w:vAlign w:val="center"/>
          </w:tcPr>
          <w:p w14:paraId="1F2B55D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naerobic digestion</w:t>
            </w:r>
          </w:p>
        </w:tc>
        <w:tc>
          <w:tcPr>
            <w:tcW w:w="897" w:type="pct"/>
            <w:tcBorders/>
            <w:noWrap/>
            <w:vAlign w:val="center"/>
          </w:tcPr>
          <w:p w14:paraId="6428ED6C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0.3</w:t>
            </w:r>
          </w:p>
          <w:bookmarkStart w:id="1" w:name="OLE_LINK5"/>
          <w:bookmarkStart w:id="2" w:name="OLE_LINK6"/>
        </w:tc>
        <w:tc>
          <w:tcPr>
            <w:tcW w:w="898" w:type="pct"/>
            <w:tcBorders/>
            <w:noWrap/>
            <w:vAlign w:val="center"/>
          </w:tcPr>
          <w:p w14:paraId="70CAAF31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bookmarkEnd w:id="1"/>
            <w:bookmarkEnd w:id="2"/>
          </w:p>
        </w:tc>
        <w:tc>
          <w:tcPr>
            <w:tcW w:w="1158" w:type="pct"/>
            <w:tcBorders/>
            <w:noWrap/>
            <w:vAlign w:val="center"/>
          </w:tcPr>
          <w:p w14:paraId="71A23F99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</w:tc>
      </w:tr>
      <w:tr w14:paraId="7B16C328">
        <w:tblPrEx/>
        <w:trPr>
          <w:trHeight w:val="270" w:hRule="atLeast"/>
        </w:trPr>
        <w:tc>
          <w:tcPr>
            <w:tcW w:w="680" w:type="pct"/>
            <w:vMerge w:val="continue"/>
            <w:tcBorders/>
            <w:noWrap/>
            <w:vAlign w:val="center"/>
          </w:tcPr>
          <w:p w14:paraId="7F3ED9BE">
            <w:pPr>
              <w:pStyle w:val="style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tcBorders/>
            <w:noWrap/>
            <w:vAlign w:val="center"/>
          </w:tcPr>
          <w:p w14:paraId="5A05EB34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ncineration</w:t>
            </w:r>
          </w:p>
        </w:tc>
        <w:tc>
          <w:tcPr>
            <w:tcW w:w="897" w:type="pct"/>
            <w:tcBorders/>
            <w:noWrap/>
            <w:vAlign w:val="center"/>
          </w:tcPr>
          <w:p w14:paraId="76213D2B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898" w:type="pct"/>
            <w:tcBorders/>
            <w:noWrap/>
            <w:vAlign w:val="center"/>
          </w:tcPr>
          <w:p w14:paraId="7723BD3A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0.001-0.016</w:t>
            </w:r>
          </w:p>
        </w:tc>
        <w:tc>
          <w:tcPr>
            <w:tcW w:w="1158" w:type="pct"/>
            <w:tcBorders/>
            <w:noWrap/>
            <w:vAlign w:val="center"/>
          </w:tcPr>
          <w:p w14:paraId="076D679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CH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/t DS</w:t>
            </w:r>
          </w:p>
        </w:tc>
      </w:tr>
      <w:tr w14:paraId="29EE78E0">
        <w:tblPrEx/>
        <w:trPr>
          <w:trHeight w:val="270" w:hRule="atLeast"/>
        </w:trPr>
        <w:tc>
          <w:tcPr>
            <w:tcW w:w="680" w:type="pct"/>
            <w:tcBorders/>
            <w:noWrap/>
            <w:vAlign w:val="center"/>
          </w:tcPr>
          <w:p w14:paraId="288B3AD8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1367" w:type="pct"/>
            <w:tcBorders/>
            <w:noWrap/>
            <w:vAlign w:val="center"/>
          </w:tcPr>
          <w:p w14:paraId="1BFEB8F8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ncineration</w:t>
            </w:r>
          </w:p>
        </w:tc>
        <w:tc>
          <w:tcPr>
            <w:tcW w:w="897" w:type="pct"/>
            <w:tcBorders/>
            <w:noWrap/>
            <w:vAlign w:val="center"/>
          </w:tcPr>
          <w:p w14:paraId="659338A3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0.72</w:t>
            </w:r>
          </w:p>
        </w:tc>
        <w:tc>
          <w:tcPr>
            <w:tcW w:w="898" w:type="pct"/>
            <w:tcBorders/>
            <w:noWrap/>
            <w:vAlign w:val="center"/>
          </w:tcPr>
          <w:p w14:paraId="0CE18B20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0.1-7.6</w:t>
            </w:r>
          </w:p>
        </w:tc>
        <w:tc>
          <w:tcPr>
            <w:tcW w:w="1158" w:type="pct"/>
            <w:tcBorders/>
            <w:noWrap/>
            <w:vAlign w:val="center"/>
          </w:tcPr>
          <w:p w14:paraId="5004EB2C">
            <w:pPr>
              <w:pStyle w:val="style0"/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kg N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O/t DS</w:t>
            </w:r>
          </w:p>
        </w:tc>
      </w:tr>
    </w:tbl>
    <w:p w14:paraId="4DD87E7A">
      <w:pPr>
        <w:pStyle w:val="style0"/>
        <w:spacing w:lineRule="auto" w:line="360"/>
        <w:rPr>
          <w:rFonts w:ascii="Times New Roman" w:cs="Times New Roman" w:hAnsi="Times New Roman"/>
          <w:b/>
          <w:szCs w:val="21"/>
        </w:rPr>
      </w:pPr>
    </w:p>
    <w:p w14:paraId="22699F60">
      <w:pPr>
        <w:pStyle w:val="style0"/>
        <w:spacing w:lineRule="auto" w:line="360"/>
        <w:rPr>
          <w:rFonts w:ascii="Times New Roman" w:cs="Times New Roman" w:hAnsi="Times New Roman"/>
          <w:b/>
          <w:szCs w:val="21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435</Words>
  <Pages>3</Pages>
  <Characters>2820</Characters>
  <Application>WPS Office</Application>
  <DocSecurity>0</DocSecurity>
  <Paragraphs>126</Paragraphs>
  <ScaleCrop>false</ScaleCrop>
  <LinksUpToDate>false</LinksUpToDate>
  <CharactersWithSpaces>3162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2026-01-19T07:55:00Z</dcterms:created>
  <dc:creator>zhangyili</dc:creator>
  <lastModifiedBy>ICL-AL20</lastModifiedBy>
  <dcterms:modified xsi:type="dcterms:W3CDTF">2026-02-10T14:23:37Z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eyJoZGlkIjoiZDQxZGMwYmMzM2E4MWVlOGJmY2U1NGM4NDUwYmY4OWYiLCJ1c2VySWQiOiIyNDg3MjQ1MzQifQ==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946D532D28184FB99574FA8A8612886B_12</vt:lpwstr>
  </property>
</Properties>
</file>