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D5AA1">
      <w:pPr>
        <w:shd w:val="clear" w:color="auto" w:fill="FFFFFF"/>
        <w:kinsoku/>
        <w:autoSpaceDE/>
        <w:autoSpaceDN/>
        <w:adjustRightInd/>
        <w:snapToGrid/>
        <w:spacing w:line="600" w:lineRule="exact"/>
        <w:jc w:val="both"/>
        <w:textAlignment w:val="auto"/>
        <w:rPr>
          <w:rFonts w:hint="default" w:ascii="Times New Roman" w:hAnsi="Times New Roman" w:eastAsia="仿宋_GB2312" w:cs="Times New Roman"/>
          <w:snapToGrid/>
          <w:color w:val="auto"/>
          <w:sz w:val="32"/>
          <w:szCs w:val="32"/>
          <w:lang w:val="en-US" w:eastAsia="zh-CN"/>
        </w:rPr>
      </w:pPr>
      <w:r>
        <w:rPr>
          <w:rFonts w:hint="eastAsia" w:ascii="Times New Roman" w:hAnsi="Times New Roman" w:eastAsia="仿宋_GB2312" w:cs="Times New Roman"/>
          <w:snapToGrid/>
          <w:color w:val="auto"/>
          <w:sz w:val="32"/>
          <w:szCs w:val="32"/>
          <w:lang w:val="en-US" w:eastAsia="zh-CN"/>
        </w:rPr>
        <w:t>附件一：</w:t>
      </w:r>
    </w:p>
    <w:p w14:paraId="45C996F3">
      <w:pPr>
        <w:autoSpaceDE/>
        <w:autoSpaceDN/>
        <w:spacing w:before="313" w:beforeLines="100"/>
        <w:jc w:val="cente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14:textFill>
            <w14:solidFill>
              <w14:schemeClr w14:val="tx1"/>
            </w14:solidFill>
          </w14:textFill>
        </w:rPr>
        <w:t>企业环境绩效评价</w:t>
      </w: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通则</w:t>
      </w:r>
      <w:bookmarkStart w:id="0" w:name="_GoBack"/>
      <w:bookmarkEnd w:id="0"/>
    </w:p>
    <w:p w14:paraId="6B8735D0">
      <w:pPr>
        <w:jc w:val="cente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p>
    <w:p w14:paraId="37B75223">
      <w:pPr>
        <w:jc w:val="left"/>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p>
    <w:p w14:paraId="6472F4B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1 </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适</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用范围</w:t>
      </w:r>
    </w:p>
    <w:p w14:paraId="7F8CB21C">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rPr>
      </w:pPr>
      <w:r>
        <w:rPr>
          <w:rFonts w:hint="default" w:ascii="Times New Roman" w:hAnsi="Times New Roman" w:eastAsia="仿宋_GB2312" w:cs="Times New Roman"/>
          <w:snapToGrid/>
          <w:color w:val="auto"/>
          <w:sz w:val="32"/>
          <w:szCs w:val="32"/>
        </w:rPr>
        <w:t>依法设立</w:t>
      </w:r>
      <w:r>
        <w:rPr>
          <w:rFonts w:hint="eastAsia" w:ascii="Times New Roman" w:hAnsi="Times New Roman" w:eastAsia="仿宋_GB2312" w:cs="Times New Roman"/>
          <w:snapToGrid/>
          <w:color w:val="auto"/>
          <w:sz w:val="32"/>
          <w:szCs w:val="32"/>
          <w:lang w:val="en-US" w:eastAsia="zh-CN"/>
        </w:rPr>
        <w:t>的本市企业</w:t>
      </w:r>
      <w:r>
        <w:rPr>
          <w:rFonts w:hint="eastAsia" w:ascii="Times New Roman" w:hAnsi="Times New Roman" w:eastAsia="仿宋_GB2312" w:cs="Times New Roman"/>
          <w:snapToGrid/>
          <w:color w:val="auto"/>
          <w:sz w:val="32"/>
          <w:szCs w:val="32"/>
          <w:lang w:eastAsia="zh-CN"/>
        </w:rPr>
        <w:t>，</w:t>
      </w:r>
      <w:r>
        <w:rPr>
          <w:rFonts w:hint="default" w:ascii="Times New Roman" w:hAnsi="Times New Roman" w:eastAsia="仿宋_GB2312" w:cs="Times New Roman"/>
          <w:snapToGrid/>
          <w:color w:val="auto"/>
          <w:sz w:val="32"/>
          <w:szCs w:val="32"/>
        </w:rPr>
        <w:t>根据所属行业类别，有行业评价细则的依据行业评价细则开展评价</w:t>
      </w: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lang w:val="en-US" w:eastAsia="zh-CN"/>
        </w:rPr>
        <w:t>并向相关协会、商会提交评价申请</w:t>
      </w:r>
      <w:r>
        <w:rPr>
          <w:rFonts w:hint="eastAsia" w:ascii="Times New Roman" w:hAnsi="Times New Roman" w:eastAsia="仿宋_GB2312" w:cs="Times New Roman"/>
          <w:snapToGrid/>
          <w:color w:val="auto"/>
          <w:sz w:val="32"/>
          <w:szCs w:val="32"/>
          <w:lang w:eastAsia="zh-CN"/>
        </w:rPr>
        <w:t>。</w:t>
      </w:r>
      <w:r>
        <w:rPr>
          <w:rFonts w:hint="default" w:ascii="Times New Roman" w:hAnsi="Times New Roman" w:eastAsia="仿宋_GB2312" w:cs="Times New Roman"/>
          <w:snapToGrid/>
          <w:color w:val="auto"/>
          <w:sz w:val="32"/>
          <w:szCs w:val="32"/>
        </w:rPr>
        <w:t>无行业评价细则的按照</w:t>
      </w:r>
      <w:r>
        <w:rPr>
          <w:rFonts w:hint="default" w:ascii="Times New Roman" w:hAnsi="Times New Roman" w:eastAsia="仿宋_GB2312" w:cs="Times New Roman"/>
          <w:snapToGrid/>
          <w:color w:val="auto"/>
          <w:sz w:val="32"/>
          <w:szCs w:val="32"/>
          <w:lang w:val="en-US" w:eastAsia="zh-CN"/>
        </w:rPr>
        <w:t>本</w:t>
      </w:r>
      <w:r>
        <w:rPr>
          <w:rFonts w:hint="default" w:ascii="Times New Roman" w:hAnsi="Times New Roman" w:eastAsia="仿宋_GB2312" w:cs="Times New Roman"/>
          <w:snapToGrid/>
          <w:color w:val="auto"/>
          <w:sz w:val="32"/>
          <w:szCs w:val="32"/>
        </w:rPr>
        <w:t>通则开展评价</w:t>
      </w: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lang w:val="en-US" w:eastAsia="zh-CN"/>
        </w:rPr>
        <w:t>向上海市环境保护产业协会提交评价申请</w:t>
      </w:r>
      <w:r>
        <w:rPr>
          <w:rFonts w:hint="default" w:ascii="Times New Roman" w:hAnsi="Times New Roman" w:eastAsia="仿宋_GB2312" w:cs="Times New Roman"/>
          <w:snapToGrid/>
          <w:color w:val="auto"/>
          <w:sz w:val="32"/>
          <w:szCs w:val="32"/>
        </w:rPr>
        <w:t>。</w:t>
      </w:r>
    </w:p>
    <w:p w14:paraId="7C0DB60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2 评价对象</w:t>
      </w:r>
    </w:p>
    <w:p w14:paraId="09399C9F">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lang w:val="en-US" w:eastAsia="zh-CN"/>
        </w:rPr>
      </w:pPr>
      <w:r>
        <w:rPr>
          <w:rFonts w:hint="eastAsia" w:ascii="Times New Roman" w:hAnsi="Times New Roman" w:eastAsia="仿宋_GB2312" w:cs="Times New Roman"/>
          <w:snapToGrid/>
          <w:color w:val="auto"/>
          <w:sz w:val="32"/>
          <w:szCs w:val="32"/>
          <w:lang w:val="en-US" w:eastAsia="zh-CN"/>
        </w:rPr>
        <w:t>本通则的评价对象</w:t>
      </w:r>
      <w:r>
        <w:rPr>
          <w:rFonts w:hint="eastAsia" w:ascii="Times New Roman" w:hAnsi="Times New Roman" w:eastAsia="仿宋_GB2312" w:cs="Times New Roman"/>
          <w:snapToGrid/>
          <w:color w:val="auto"/>
          <w:sz w:val="32"/>
          <w:szCs w:val="32"/>
          <w:highlight w:val="none"/>
          <w:lang w:val="en-US" w:eastAsia="zh-CN"/>
        </w:rPr>
        <w:t>是指自愿</w:t>
      </w:r>
      <w:r>
        <w:rPr>
          <w:rFonts w:hint="eastAsia" w:ascii="Times New Roman" w:hAnsi="Times New Roman" w:eastAsia="仿宋_GB2312" w:cs="Times New Roman"/>
          <w:snapToGrid/>
          <w:color w:val="auto"/>
          <w:sz w:val="32"/>
          <w:szCs w:val="32"/>
          <w:lang w:val="en-US" w:eastAsia="zh-CN"/>
        </w:rPr>
        <w:t>开展企业环境绩效评价工作，并向相关协会、商会提交评价申请的企业。评价企业应满足以下条件：</w:t>
      </w:r>
    </w:p>
    <w:p w14:paraId="071F6934">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rPr>
      </w:pP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lang w:val="en-US" w:eastAsia="zh-CN"/>
        </w:rPr>
        <w:t>1</w:t>
      </w: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rPr>
        <w:t>依法设立，证照齐全，存续期满一年，有健全财务制度、实行独立核算</w:t>
      </w:r>
      <w:r>
        <w:rPr>
          <w:rFonts w:hint="eastAsia" w:ascii="Times New Roman" w:hAnsi="Times New Roman" w:eastAsia="仿宋_GB2312" w:cs="Times New Roman"/>
          <w:snapToGrid/>
          <w:color w:val="auto"/>
          <w:sz w:val="32"/>
          <w:szCs w:val="32"/>
          <w:lang w:val="en-US" w:eastAsia="zh-CN"/>
        </w:rPr>
        <w:t>的</w:t>
      </w:r>
      <w:r>
        <w:rPr>
          <w:rFonts w:hint="eastAsia" w:ascii="Times New Roman" w:hAnsi="Times New Roman" w:eastAsia="仿宋_GB2312" w:cs="Times New Roman"/>
          <w:snapToGrid/>
          <w:color w:val="auto"/>
          <w:sz w:val="32"/>
          <w:szCs w:val="32"/>
        </w:rPr>
        <w:t>；</w:t>
      </w:r>
    </w:p>
    <w:p w14:paraId="72A85A59">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rPr>
      </w:pP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lang w:val="en-US" w:eastAsia="zh-CN"/>
        </w:rPr>
        <w:t>2</w:t>
      </w: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rPr>
        <w:t>依法办理环境影响评价手续，申领排污许可证或办理排污登记</w:t>
      </w:r>
      <w:r>
        <w:rPr>
          <w:rFonts w:hint="eastAsia" w:ascii="Times New Roman" w:hAnsi="Times New Roman" w:eastAsia="仿宋_GB2312" w:cs="Times New Roman"/>
          <w:snapToGrid/>
          <w:color w:val="auto"/>
          <w:sz w:val="32"/>
          <w:szCs w:val="32"/>
          <w:lang w:val="en-US" w:eastAsia="zh-CN"/>
        </w:rPr>
        <w:t>的</w:t>
      </w:r>
      <w:r>
        <w:rPr>
          <w:rFonts w:hint="eastAsia" w:ascii="Times New Roman" w:hAnsi="Times New Roman" w:eastAsia="仿宋_GB2312" w:cs="Times New Roman"/>
          <w:snapToGrid/>
          <w:color w:val="auto"/>
          <w:sz w:val="32"/>
          <w:szCs w:val="32"/>
        </w:rPr>
        <w:t>；</w:t>
      </w:r>
    </w:p>
    <w:p w14:paraId="0DA91053">
      <w:pPr>
        <w:shd w:val="clear" w:color="auto" w:fill="FFFFFF"/>
        <w:kinsoku/>
        <w:autoSpaceDE/>
        <w:autoSpaceDN/>
        <w:adjustRightInd/>
        <w:snapToGrid/>
        <w:spacing w:line="600" w:lineRule="exact"/>
        <w:ind w:firstLine="640" w:firstLineChars="200"/>
        <w:jc w:val="both"/>
        <w:textAlignment w:val="auto"/>
        <w:rPr>
          <w:rFonts w:hint="eastAsia" w:ascii="Times New Roman" w:hAnsi="Times New Roman" w:eastAsia="仿宋_GB2312" w:cs="Times New Roman"/>
          <w:snapToGrid/>
          <w:color w:val="auto"/>
          <w:sz w:val="32"/>
          <w:szCs w:val="32"/>
          <w:lang w:eastAsia="zh-CN"/>
        </w:rPr>
      </w:pP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lang w:val="en-US" w:eastAsia="zh-CN"/>
        </w:rPr>
        <w:t>3</w:t>
      </w: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rPr>
        <w:t>近</w:t>
      </w:r>
      <w:r>
        <w:rPr>
          <w:rFonts w:hint="default" w:ascii="Times New Roman" w:hAnsi="Times New Roman" w:eastAsia="仿宋_GB2312" w:cs="Times New Roman"/>
          <w:snapToGrid/>
          <w:color w:val="auto"/>
          <w:sz w:val="32"/>
          <w:szCs w:val="32"/>
        </w:rPr>
        <w:t>3</w:t>
      </w:r>
      <w:r>
        <w:rPr>
          <w:rFonts w:hint="eastAsia" w:ascii="Times New Roman" w:hAnsi="Times New Roman" w:eastAsia="仿宋_GB2312" w:cs="Times New Roman"/>
          <w:snapToGrid/>
          <w:color w:val="auto"/>
          <w:sz w:val="32"/>
          <w:szCs w:val="32"/>
        </w:rPr>
        <w:t>年内未受到行政处罚</w:t>
      </w:r>
      <w:r>
        <w:rPr>
          <w:rFonts w:hint="eastAsia" w:ascii="Times New Roman" w:hAnsi="Times New Roman" w:eastAsia="仿宋_GB2312" w:cs="Times New Roman"/>
          <w:snapToGrid/>
          <w:color w:val="auto"/>
          <w:sz w:val="32"/>
          <w:szCs w:val="32"/>
          <w:lang w:eastAsia="zh-CN"/>
        </w:rPr>
        <w:t>，</w:t>
      </w:r>
      <w:r>
        <w:rPr>
          <w:rFonts w:hint="eastAsia" w:ascii="Times New Roman" w:hAnsi="Times New Roman" w:eastAsia="仿宋_GB2312" w:cs="Times New Roman"/>
          <w:snapToGrid/>
          <w:color w:val="auto"/>
          <w:sz w:val="32"/>
          <w:szCs w:val="32"/>
          <w:lang w:val="en-US" w:eastAsia="zh-CN"/>
        </w:rPr>
        <w:t>不存在</w:t>
      </w:r>
      <w:r>
        <w:rPr>
          <w:rFonts w:hint="eastAsia" w:ascii="Times New Roman" w:hAnsi="Times New Roman" w:eastAsia="仿宋_GB2312" w:cs="Times New Roman"/>
          <w:snapToGrid/>
          <w:color w:val="auto"/>
          <w:sz w:val="32"/>
          <w:szCs w:val="32"/>
        </w:rPr>
        <w:t>因行政机关移送被追究刑事责任的</w:t>
      </w:r>
      <w:r>
        <w:rPr>
          <w:rFonts w:hint="eastAsia" w:ascii="Times New Roman" w:hAnsi="Times New Roman" w:eastAsia="仿宋_GB2312" w:cs="Times New Roman"/>
          <w:snapToGrid/>
          <w:color w:val="auto"/>
          <w:sz w:val="32"/>
          <w:szCs w:val="32"/>
          <w:lang w:eastAsia="zh-CN"/>
        </w:rPr>
        <w:t>。</w:t>
      </w:r>
    </w:p>
    <w:p w14:paraId="25B568D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评价内容</w:t>
      </w:r>
    </w:p>
    <w:p w14:paraId="11E54BC9">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rPr>
      </w:pPr>
      <w:r>
        <w:rPr>
          <w:rFonts w:hint="default" w:ascii="Times New Roman" w:hAnsi="Times New Roman" w:eastAsia="仿宋_GB2312" w:cs="Times New Roman"/>
          <w:snapToGrid/>
          <w:color w:val="auto"/>
          <w:sz w:val="32"/>
          <w:szCs w:val="32"/>
          <w:lang w:val="en-US" w:eastAsia="zh-CN"/>
        </w:rPr>
        <w:t>按照本通则附件评价指标体系和计算方法，对企业在</w:t>
      </w:r>
      <w:r>
        <w:rPr>
          <w:rFonts w:hint="default" w:ascii="Times New Roman" w:hAnsi="Times New Roman" w:eastAsia="仿宋_GB2312" w:cs="Times New Roman"/>
          <w:snapToGrid/>
          <w:color w:val="auto"/>
          <w:sz w:val="32"/>
          <w:szCs w:val="32"/>
        </w:rPr>
        <w:t>资源集约高效利用、污染防控和生态保护、应对气候变化、现代环境治理能力四个</w:t>
      </w:r>
      <w:r>
        <w:rPr>
          <w:rFonts w:hint="default" w:ascii="Times New Roman" w:hAnsi="Times New Roman" w:eastAsia="仿宋_GB2312" w:cs="Times New Roman"/>
          <w:snapToGrid/>
          <w:color w:val="auto"/>
          <w:sz w:val="32"/>
          <w:szCs w:val="32"/>
          <w:lang w:val="en-US" w:eastAsia="zh-CN"/>
        </w:rPr>
        <w:t>方面的表现进行量化评价。评估指标体系满分120分，其中加分项20分。</w:t>
      </w:r>
      <w:r>
        <w:rPr>
          <w:rFonts w:hint="eastAsia" w:ascii="Times New Roman" w:hAnsi="Times New Roman" w:eastAsia="仿宋_GB2312" w:cs="Times New Roman"/>
          <w:snapToGrid/>
          <w:color w:val="auto"/>
          <w:sz w:val="32"/>
          <w:szCs w:val="32"/>
          <w:lang w:val="en-US" w:eastAsia="zh-CN"/>
        </w:rPr>
        <w:t>根据</w:t>
      </w:r>
      <w:r>
        <w:rPr>
          <w:rFonts w:hint="default" w:ascii="Times New Roman" w:hAnsi="Times New Roman" w:eastAsia="仿宋_GB2312" w:cs="Times New Roman"/>
          <w:snapToGrid/>
          <w:color w:val="auto"/>
          <w:sz w:val="32"/>
          <w:szCs w:val="32"/>
        </w:rPr>
        <w:t>不同</w:t>
      </w:r>
      <w:r>
        <w:rPr>
          <w:rFonts w:hint="eastAsia" w:ascii="Times New Roman" w:hAnsi="Times New Roman" w:eastAsia="仿宋_GB2312" w:cs="Times New Roman"/>
          <w:snapToGrid/>
          <w:color w:val="auto"/>
          <w:sz w:val="32"/>
          <w:szCs w:val="32"/>
          <w:lang w:val="en-US" w:eastAsia="zh-CN"/>
        </w:rPr>
        <w:t>行业</w:t>
      </w:r>
      <w:r>
        <w:rPr>
          <w:rFonts w:hint="default" w:ascii="Times New Roman" w:hAnsi="Times New Roman" w:eastAsia="仿宋_GB2312" w:cs="Times New Roman"/>
          <w:snapToGrid/>
          <w:color w:val="auto"/>
          <w:sz w:val="32"/>
          <w:szCs w:val="32"/>
        </w:rPr>
        <w:t>的评价需求，可</w:t>
      </w:r>
      <w:r>
        <w:rPr>
          <w:rFonts w:hint="eastAsia" w:ascii="Times New Roman" w:hAnsi="Times New Roman" w:eastAsia="仿宋_GB2312" w:cs="Times New Roman"/>
          <w:snapToGrid/>
          <w:color w:val="auto"/>
          <w:sz w:val="32"/>
          <w:szCs w:val="32"/>
          <w:lang w:val="en-US" w:eastAsia="zh-CN"/>
        </w:rPr>
        <w:t>根据实际情况对</w:t>
      </w:r>
      <w:r>
        <w:rPr>
          <w:rFonts w:hint="default" w:ascii="Times New Roman" w:hAnsi="Times New Roman" w:eastAsia="仿宋_GB2312" w:cs="Times New Roman"/>
          <w:snapToGrid/>
          <w:color w:val="auto"/>
          <w:sz w:val="32"/>
          <w:szCs w:val="32"/>
        </w:rPr>
        <w:t>单个指标</w:t>
      </w:r>
      <w:r>
        <w:rPr>
          <w:rFonts w:hint="eastAsia" w:ascii="Times New Roman" w:hAnsi="Times New Roman" w:eastAsia="仿宋_GB2312" w:cs="Times New Roman"/>
          <w:snapToGrid/>
          <w:color w:val="auto"/>
          <w:sz w:val="32"/>
          <w:szCs w:val="32"/>
          <w:lang w:val="en-US" w:eastAsia="zh-CN"/>
        </w:rPr>
        <w:t>进行</w:t>
      </w:r>
      <w:r>
        <w:rPr>
          <w:rFonts w:hint="default" w:ascii="Times New Roman" w:hAnsi="Times New Roman" w:eastAsia="仿宋_GB2312" w:cs="Times New Roman"/>
          <w:snapToGrid/>
          <w:color w:val="auto"/>
          <w:sz w:val="32"/>
          <w:szCs w:val="32"/>
        </w:rPr>
        <w:t>缺省评价，缺省赋</w:t>
      </w:r>
      <w:r>
        <w:rPr>
          <w:rFonts w:hint="eastAsia" w:ascii="Times New Roman" w:hAnsi="Times New Roman" w:eastAsia="仿宋_GB2312" w:cs="Times New Roman"/>
          <w:snapToGrid/>
          <w:color w:val="auto"/>
          <w:sz w:val="32"/>
          <w:szCs w:val="32"/>
          <w:lang w:val="en-US" w:eastAsia="zh-CN"/>
        </w:rPr>
        <w:t>分</w:t>
      </w:r>
      <w:r>
        <w:rPr>
          <w:rFonts w:hint="default" w:ascii="Times New Roman" w:hAnsi="Times New Roman" w:eastAsia="仿宋_GB2312" w:cs="Times New Roman"/>
          <w:snapToGrid/>
          <w:color w:val="auto"/>
          <w:sz w:val="32"/>
          <w:szCs w:val="32"/>
        </w:rPr>
        <w:t>原则为同级别指标</w:t>
      </w:r>
      <w:r>
        <w:rPr>
          <w:rFonts w:hint="eastAsia" w:ascii="Times New Roman" w:hAnsi="Times New Roman" w:eastAsia="仿宋_GB2312" w:cs="Times New Roman"/>
          <w:snapToGrid/>
          <w:color w:val="auto"/>
          <w:sz w:val="32"/>
          <w:szCs w:val="32"/>
          <w:lang w:val="en-US" w:eastAsia="zh-CN"/>
        </w:rPr>
        <w:t>权重再规划后，按原比例赋分</w:t>
      </w:r>
      <w:r>
        <w:rPr>
          <w:rFonts w:hint="default" w:ascii="Times New Roman" w:hAnsi="Times New Roman" w:eastAsia="仿宋_GB2312" w:cs="Times New Roman"/>
          <w:snapToGrid/>
          <w:color w:val="auto"/>
          <w:sz w:val="32"/>
          <w:szCs w:val="32"/>
        </w:rPr>
        <w:t>。</w:t>
      </w:r>
    </w:p>
    <w:p w14:paraId="4061558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评价基准</w:t>
      </w:r>
    </w:p>
    <w:p w14:paraId="0ED89BF6">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lang w:val="en-US" w:eastAsia="zh-CN"/>
        </w:rPr>
      </w:pPr>
      <w:r>
        <w:rPr>
          <w:rFonts w:hint="default" w:ascii="Times New Roman" w:hAnsi="Times New Roman" w:eastAsia="仿宋_GB2312" w:cs="Times New Roman"/>
          <w:snapToGrid/>
          <w:color w:val="auto"/>
          <w:sz w:val="32"/>
          <w:szCs w:val="32"/>
          <w:highlight w:val="none"/>
          <w:lang w:val="en-US" w:eastAsia="zh-CN"/>
        </w:rPr>
        <w:t>评价指标体系需要对照行业平均</w:t>
      </w:r>
      <w:r>
        <w:rPr>
          <w:rFonts w:hint="eastAsia" w:ascii="Times New Roman" w:hAnsi="Times New Roman" w:eastAsia="仿宋_GB2312" w:cs="Times New Roman"/>
          <w:snapToGrid/>
          <w:color w:val="auto"/>
          <w:sz w:val="32"/>
          <w:szCs w:val="32"/>
          <w:highlight w:val="none"/>
          <w:lang w:val="en-US" w:eastAsia="zh-CN"/>
        </w:rPr>
        <w:t>环境</w:t>
      </w:r>
      <w:r>
        <w:rPr>
          <w:rFonts w:hint="default" w:ascii="Times New Roman" w:hAnsi="Times New Roman" w:eastAsia="仿宋_GB2312" w:cs="Times New Roman"/>
          <w:snapToGrid/>
          <w:color w:val="auto"/>
          <w:sz w:val="32"/>
          <w:szCs w:val="32"/>
          <w:highlight w:val="none"/>
          <w:lang w:val="en-US" w:eastAsia="zh-CN"/>
        </w:rPr>
        <w:t>绩效水平</w:t>
      </w:r>
      <w:r>
        <w:rPr>
          <w:rFonts w:hint="eastAsia" w:ascii="Times New Roman" w:hAnsi="Times New Roman" w:eastAsia="仿宋_GB2312" w:cs="Times New Roman"/>
          <w:snapToGrid/>
          <w:color w:val="auto"/>
          <w:sz w:val="32"/>
          <w:szCs w:val="32"/>
          <w:highlight w:val="none"/>
          <w:lang w:val="en-US" w:eastAsia="zh-CN"/>
        </w:rPr>
        <w:t>，</w:t>
      </w:r>
      <w:r>
        <w:rPr>
          <w:rFonts w:hint="default" w:ascii="Times New Roman" w:hAnsi="Times New Roman" w:eastAsia="仿宋_GB2312" w:cs="Times New Roman"/>
          <w:snapToGrid/>
          <w:color w:val="auto"/>
          <w:sz w:val="32"/>
          <w:szCs w:val="32"/>
          <w:highlight w:val="none"/>
          <w:lang w:val="en-US" w:eastAsia="zh-CN"/>
        </w:rPr>
        <w:t>设立指标的评价基准。本通</w:t>
      </w:r>
      <w:r>
        <w:rPr>
          <w:rFonts w:hint="default" w:ascii="Times New Roman" w:hAnsi="Times New Roman" w:eastAsia="仿宋_GB2312" w:cs="Times New Roman"/>
          <w:snapToGrid/>
          <w:color w:val="auto"/>
          <w:sz w:val="32"/>
          <w:szCs w:val="32"/>
          <w:lang w:val="en-US" w:eastAsia="zh-CN"/>
        </w:rPr>
        <w:t>则依据相关部门公布或调查研究所得的行业平均</w:t>
      </w:r>
      <w:r>
        <w:rPr>
          <w:rFonts w:hint="eastAsia" w:ascii="Times New Roman" w:hAnsi="Times New Roman" w:eastAsia="仿宋_GB2312" w:cs="Times New Roman"/>
          <w:snapToGrid/>
          <w:color w:val="auto"/>
          <w:sz w:val="32"/>
          <w:szCs w:val="32"/>
          <w:lang w:val="en-US" w:eastAsia="zh-CN"/>
        </w:rPr>
        <w:t>环境</w:t>
      </w:r>
      <w:r>
        <w:rPr>
          <w:rFonts w:hint="default" w:ascii="Times New Roman" w:hAnsi="Times New Roman" w:eastAsia="仿宋_GB2312" w:cs="Times New Roman"/>
          <w:snapToGrid/>
          <w:color w:val="auto"/>
          <w:sz w:val="32"/>
          <w:szCs w:val="32"/>
          <w:lang w:val="en-US" w:eastAsia="zh-CN"/>
        </w:rPr>
        <w:t>绩效水平制定评价基准。评价基准根据社会经济发展、统计基础建设和实践经验总结每年进行调整、更新和完善。</w:t>
      </w:r>
    </w:p>
    <w:p w14:paraId="19C8598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评价结果</w:t>
      </w:r>
    </w:p>
    <w:p w14:paraId="6508294A">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rPr>
      </w:pPr>
      <w:r>
        <w:rPr>
          <w:rFonts w:hint="default" w:ascii="Times New Roman" w:hAnsi="Times New Roman" w:eastAsia="仿宋_GB2312" w:cs="Times New Roman"/>
          <w:snapToGrid/>
          <w:color w:val="auto"/>
          <w:sz w:val="32"/>
          <w:szCs w:val="32"/>
          <w:lang w:val="en-US" w:eastAsia="zh-CN"/>
        </w:rPr>
        <w:t>按照本通则，</w:t>
      </w:r>
      <w:r>
        <w:rPr>
          <w:rFonts w:hint="default" w:ascii="Times New Roman" w:hAnsi="Times New Roman" w:eastAsia="仿宋_GB2312" w:cs="Times New Roman"/>
          <w:snapToGrid/>
          <w:color w:val="auto"/>
          <w:sz w:val="32"/>
          <w:szCs w:val="32"/>
        </w:rPr>
        <w:t>“绿色引领企业”、“绿色发展企业”和“绿色潜力企业”</w:t>
      </w:r>
      <w:r>
        <w:rPr>
          <w:rFonts w:hint="eastAsia" w:ascii="Times New Roman" w:hAnsi="Times New Roman" w:eastAsia="仿宋_GB2312" w:cs="Times New Roman"/>
          <w:snapToGrid/>
          <w:color w:val="auto"/>
          <w:sz w:val="32"/>
          <w:szCs w:val="32"/>
          <w:lang w:val="en-US" w:eastAsia="zh-CN"/>
        </w:rPr>
        <w:t>评价按照行业进行</w:t>
      </w:r>
      <w:r>
        <w:rPr>
          <w:rFonts w:hint="default" w:ascii="Times New Roman" w:hAnsi="Times New Roman" w:eastAsia="仿宋_GB2312" w:cs="Times New Roman"/>
          <w:snapToGrid/>
          <w:color w:val="auto"/>
          <w:sz w:val="32"/>
          <w:szCs w:val="32"/>
        </w:rPr>
        <w:t>。其中，绿色引领企业</w:t>
      </w:r>
      <w:r>
        <w:rPr>
          <w:rFonts w:hint="eastAsia" w:ascii="Times New Roman" w:hAnsi="Times New Roman" w:eastAsia="仿宋_GB2312" w:cs="Times New Roman"/>
          <w:snapToGrid/>
          <w:color w:val="auto"/>
          <w:sz w:val="32"/>
          <w:szCs w:val="32"/>
          <w:lang w:eastAsia="zh-CN"/>
        </w:rPr>
        <w:t>、</w:t>
      </w:r>
      <w:r>
        <w:rPr>
          <w:rFonts w:hint="default" w:ascii="Times New Roman" w:hAnsi="Times New Roman" w:eastAsia="仿宋_GB2312" w:cs="Times New Roman"/>
          <w:snapToGrid/>
          <w:color w:val="auto"/>
          <w:sz w:val="32"/>
          <w:szCs w:val="32"/>
        </w:rPr>
        <w:t>绿色发展企业</w:t>
      </w:r>
      <w:r>
        <w:rPr>
          <w:rFonts w:hint="eastAsia" w:ascii="Times New Roman" w:hAnsi="Times New Roman" w:eastAsia="仿宋_GB2312" w:cs="Times New Roman"/>
          <w:snapToGrid/>
          <w:color w:val="auto"/>
          <w:sz w:val="32"/>
          <w:szCs w:val="32"/>
          <w:lang w:val="en-US" w:eastAsia="zh-CN"/>
        </w:rPr>
        <w:t>的环境</w:t>
      </w:r>
      <w:r>
        <w:rPr>
          <w:rFonts w:hint="default" w:ascii="Times New Roman" w:hAnsi="Times New Roman" w:eastAsia="仿宋_GB2312" w:cs="Times New Roman"/>
          <w:snapToGrid/>
          <w:color w:val="auto"/>
          <w:sz w:val="32"/>
          <w:szCs w:val="32"/>
        </w:rPr>
        <w:t>绩效综合得分</w:t>
      </w:r>
      <w:r>
        <w:rPr>
          <w:rFonts w:hint="eastAsia" w:ascii="Times New Roman" w:hAnsi="Times New Roman" w:eastAsia="仿宋_GB2312" w:cs="Times New Roman"/>
          <w:snapToGrid/>
          <w:color w:val="auto"/>
          <w:sz w:val="32"/>
          <w:szCs w:val="32"/>
          <w:lang w:val="en-US" w:eastAsia="zh-CN"/>
        </w:rPr>
        <w:t>需分别</w:t>
      </w:r>
      <w:r>
        <w:rPr>
          <w:rFonts w:hint="default" w:ascii="Times New Roman" w:hAnsi="Times New Roman" w:eastAsia="仿宋_GB2312" w:cs="Times New Roman"/>
          <w:snapToGrid/>
          <w:color w:val="auto"/>
          <w:sz w:val="32"/>
          <w:szCs w:val="32"/>
        </w:rPr>
        <w:t>高于平均</w:t>
      </w:r>
      <w:r>
        <w:rPr>
          <w:rFonts w:hint="eastAsia" w:ascii="Times New Roman" w:hAnsi="Times New Roman" w:eastAsia="仿宋_GB2312" w:cs="Times New Roman"/>
          <w:snapToGrid/>
          <w:color w:val="auto"/>
          <w:sz w:val="32"/>
          <w:szCs w:val="32"/>
          <w:lang w:val="en-US" w:eastAsia="zh-CN"/>
        </w:rPr>
        <w:t>环境</w:t>
      </w:r>
      <w:r>
        <w:rPr>
          <w:rFonts w:hint="default" w:ascii="Times New Roman" w:hAnsi="Times New Roman" w:eastAsia="仿宋_GB2312" w:cs="Times New Roman"/>
          <w:snapToGrid/>
          <w:color w:val="auto"/>
          <w:sz w:val="32"/>
          <w:szCs w:val="32"/>
          <w14:ligatures w14:val="standardContextual"/>
        </w:rPr>
        <w:t>绩效</w:t>
      </w:r>
      <w:r>
        <w:rPr>
          <w:rFonts w:hint="default" w:ascii="Times New Roman" w:hAnsi="Times New Roman" w:eastAsia="仿宋_GB2312" w:cs="Times New Roman"/>
          <w:snapToGrid/>
          <w:color w:val="auto"/>
          <w:sz w:val="32"/>
          <w:szCs w:val="32"/>
        </w:rPr>
        <w:t>水平50%</w:t>
      </w:r>
      <w:r>
        <w:rPr>
          <w:rFonts w:hint="eastAsia" w:ascii="Times New Roman" w:hAnsi="Times New Roman" w:eastAsia="仿宋_GB2312" w:cs="Times New Roman"/>
          <w:snapToGrid/>
          <w:color w:val="auto"/>
          <w:sz w:val="32"/>
          <w:szCs w:val="32"/>
          <w:lang w:val="en-US" w:eastAsia="zh-CN"/>
        </w:rPr>
        <w:t>及</w:t>
      </w:r>
      <w:r>
        <w:rPr>
          <w:rFonts w:hint="default" w:ascii="Times New Roman" w:hAnsi="Times New Roman" w:eastAsia="仿宋_GB2312" w:cs="Times New Roman"/>
          <w:snapToGrid/>
          <w:color w:val="auto"/>
          <w:sz w:val="32"/>
          <w:szCs w:val="32"/>
        </w:rPr>
        <w:t>以上</w:t>
      </w:r>
      <w:r>
        <w:rPr>
          <w:rFonts w:hint="eastAsia" w:ascii="Times New Roman" w:hAnsi="Times New Roman" w:eastAsia="仿宋_GB2312" w:cs="Times New Roman"/>
          <w:snapToGrid/>
          <w:color w:val="auto"/>
          <w:sz w:val="32"/>
          <w:szCs w:val="32"/>
          <w:lang w:eastAsia="zh-CN"/>
        </w:rPr>
        <w:t>、</w:t>
      </w:r>
      <w:r>
        <w:rPr>
          <w:rFonts w:hint="default" w:ascii="Times New Roman" w:hAnsi="Times New Roman" w:eastAsia="仿宋_GB2312" w:cs="Times New Roman"/>
          <w:snapToGrid/>
          <w:color w:val="auto"/>
          <w:sz w:val="32"/>
          <w:szCs w:val="32"/>
        </w:rPr>
        <w:t>30%</w:t>
      </w:r>
      <w:r>
        <w:rPr>
          <w:rFonts w:hint="eastAsia" w:ascii="Times New Roman" w:hAnsi="Times New Roman" w:eastAsia="仿宋_GB2312" w:cs="Times New Roman"/>
          <w:snapToGrid/>
          <w:color w:val="auto"/>
          <w:sz w:val="32"/>
          <w:szCs w:val="32"/>
          <w:lang w:val="en-US" w:eastAsia="zh-CN"/>
        </w:rPr>
        <w:t>及</w:t>
      </w:r>
      <w:r>
        <w:rPr>
          <w:rFonts w:hint="default" w:ascii="Times New Roman" w:hAnsi="Times New Roman" w:eastAsia="仿宋_GB2312" w:cs="Times New Roman"/>
          <w:snapToGrid/>
          <w:color w:val="auto"/>
          <w:sz w:val="32"/>
          <w:szCs w:val="32"/>
        </w:rPr>
        <w:t>以上，达到平均环境绩效水平的企业可评为绿色潜力企业。</w:t>
      </w:r>
    </w:p>
    <w:p w14:paraId="4178B85C">
      <w:pPr>
        <w:shd w:val="clear" w:color="auto" w:fill="FFFFFF"/>
        <w:kinsoku/>
        <w:autoSpaceDE/>
        <w:autoSpaceDN/>
        <w:adjustRightInd/>
        <w:snapToGrid/>
        <w:spacing w:line="600" w:lineRule="exact"/>
        <w:jc w:val="both"/>
        <w:textAlignment w:val="auto"/>
        <w:rPr>
          <w:rFonts w:hint="default" w:ascii="Times New Roman" w:hAnsi="Times New Roman" w:eastAsia="仿宋_GB2312" w:cs="Times New Roman"/>
          <w:snapToGrid/>
          <w:color w:val="auto"/>
          <w:sz w:val="32"/>
          <w:szCs w:val="32"/>
        </w:rPr>
      </w:pPr>
    </w:p>
    <w:p w14:paraId="1262EB14">
      <w:pPr>
        <w:shd w:val="clear" w:color="auto" w:fill="FFFFFF"/>
        <w:kinsoku/>
        <w:autoSpaceDE/>
        <w:autoSpaceDN/>
        <w:adjustRightInd/>
        <w:snapToGrid/>
        <w:spacing w:line="600" w:lineRule="exact"/>
        <w:ind w:firstLine="640" w:firstLineChars="200"/>
        <w:jc w:val="both"/>
        <w:textAlignment w:val="auto"/>
        <w:rPr>
          <w:rFonts w:hint="eastAsia" w:ascii="Times New Roman" w:hAnsi="Times New Roman" w:eastAsia="仿宋_GB2312" w:cs="Times New Roman"/>
          <w:snapToGrid/>
          <w:color w:val="auto"/>
          <w:sz w:val="32"/>
          <w:szCs w:val="32"/>
          <w:lang w:val="en-US" w:eastAsia="zh-CN"/>
        </w:rPr>
      </w:pPr>
      <w:r>
        <w:rPr>
          <w:rFonts w:hint="eastAsia" w:ascii="Times New Roman" w:hAnsi="Times New Roman" w:eastAsia="仿宋_GB2312" w:cs="Times New Roman"/>
          <w:snapToGrid/>
          <w:color w:val="auto"/>
          <w:sz w:val="32"/>
          <w:szCs w:val="32"/>
          <w:lang w:val="en-US" w:eastAsia="zh-CN"/>
        </w:rPr>
        <w:t>附件1：企业环境绩效评价指标计分通则</w:t>
      </w:r>
    </w:p>
    <w:p w14:paraId="198AC474">
      <w:pPr>
        <w:shd w:val="clear" w:color="auto" w:fill="FFFFFF"/>
        <w:kinsoku/>
        <w:autoSpaceDE/>
        <w:autoSpaceDN/>
        <w:adjustRightInd/>
        <w:snapToGrid/>
        <w:spacing w:line="600" w:lineRule="exact"/>
        <w:ind w:firstLine="640" w:firstLineChars="200"/>
        <w:jc w:val="both"/>
        <w:textAlignment w:val="auto"/>
        <w:rPr>
          <w:rFonts w:hint="eastAsia" w:ascii="Times New Roman" w:hAnsi="Times New Roman" w:eastAsia="仿宋_GB2312" w:cs="Times New Roman"/>
          <w:snapToGrid/>
          <w:color w:val="auto"/>
          <w:sz w:val="32"/>
          <w:szCs w:val="32"/>
          <w:lang w:val="en-US" w:eastAsia="zh-CN"/>
        </w:rPr>
      </w:pPr>
      <w:r>
        <w:rPr>
          <w:rFonts w:hint="eastAsia" w:ascii="Times New Roman" w:hAnsi="Times New Roman" w:eastAsia="仿宋_GB2312" w:cs="Times New Roman"/>
          <w:snapToGrid/>
          <w:color w:val="auto"/>
          <w:sz w:val="32"/>
          <w:szCs w:val="32"/>
          <w:lang w:val="en-US" w:eastAsia="zh-CN"/>
        </w:rPr>
        <w:t>附件2：指标计分计算方法</w:t>
      </w:r>
    </w:p>
    <w:p w14:paraId="6701CF84">
      <w:pPr>
        <w:shd w:val="clear" w:color="auto" w:fill="FFFFFF"/>
        <w:kinsoku/>
        <w:autoSpaceDE/>
        <w:autoSpaceDN/>
        <w:adjustRightInd/>
        <w:snapToGrid/>
        <w:spacing w:line="600" w:lineRule="exact"/>
        <w:ind w:firstLine="640" w:firstLineChars="200"/>
        <w:jc w:val="both"/>
        <w:textAlignment w:val="auto"/>
        <w:rPr>
          <w:rFonts w:hint="default" w:ascii="Times New Roman" w:hAnsi="Times New Roman" w:eastAsia="仿宋_GB2312" w:cs="Times New Roman"/>
          <w:snapToGrid/>
          <w:color w:val="auto"/>
          <w:sz w:val="32"/>
          <w:szCs w:val="32"/>
          <w:lang w:val="en-US" w:eastAsia="zh-CN"/>
        </w:rPr>
        <w:sectPr>
          <w:pgSz w:w="11906" w:h="16838"/>
          <w:pgMar w:top="1440" w:right="1800" w:bottom="1440" w:left="1800" w:header="851" w:footer="992" w:gutter="0"/>
          <w:cols w:space="0" w:num="1"/>
          <w:rtlGutter w:val="0"/>
          <w:docGrid w:type="lines" w:linePitch="312" w:charSpace="0"/>
        </w:sectPr>
      </w:pPr>
      <w:r>
        <w:rPr>
          <w:rFonts w:hint="eastAsia" w:ascii="Times New Roman" w:hAnsi="Times New Roman" w:eastAsia="仿宋_GB2312" w:cs="Times New Roman"/>
          <w:snapToGrid/>
          <w:color w:val="auto"/>
          <w:sz w:val="32"/>
          <w:szCs w:val="32"/>
          <w:lang w:val="en-US" w:eastAsia="zh-CN"/>
        </w:rPr>
        <w:t>附件3：术语定义</w:t>
      </w:r>
    </w:p>
    <w:p w14:paraId="0A708DED">
      <w:pPr>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w:t>
      </w:r>
    </w:p>
    <w:p w14:paraId="7FD2ACB4">
      <w:pPr>
        <w:jc w:val="cente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企业环境绩效评价指标计分通则</w:t>
      </w:r>
    </w:p>
    <w:p w14:paraId="438ACCDA"/>
    <w:tbl>
      <w:tblPr>
        <w:tblStyle w:val="11"/>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7"/>
        <w:gridCol w:w="1183"/>
        <w:gridCol w:w="841"/>
        <w:gridCol w:w="914"/>
        <w:gridCol w:w="2368"/>
        <w:gridCol w:w="1829"/>
        <w:gridCol w:w="1078"/>
        <w:gridCol w:w="3519"/>
        <w:gridCol w:w="1606"/>
      </w:tblGrid>
      <w:tr w14:paraId="01C5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272" w:type="pct"/>
            <w:vAlign w:val="center"/>
          </w:tcPr>
          <w:p w14:paraId="0664C781">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t>序号</w:t>
            </w:r>
          </w:p>
        </w:tc>
        <w:tc>
          <w:tcPr>
            <w:tcW w:w="419" w:type="pct"/>
            <w:vAlign w:val="center"/>
          </w:tcPr>
          <w:p w14:paraId="61D423F2">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t>一级指标</w:t>
            </w:r>
          </w:p>
        </w:tc>
        <w:tc>
          <w:tcPr>
            <w:tcW w:w="298" w:type="pct"/>
            <w:vAlign w:val="center"/>
          </w:tcPr>
          <w:p w14:paraId="123E4843">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t>分值</w:t>
            </w:r>
          </w:p>
        </w:tc>
        <w:tc>
          <w:tcPr>
            <w:tcW w:w="324" w:type="pct"/>
            <w:vAlign w:val="center"/>
          </w:tcPr>
          <w:p w14:paraId="2CC9CEB1">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t>编号</w:t>
            </w:r>
          </w:p>
        </w:tc>
        <w:tc>
          <w:tcPr>
            <w:tcW w:w="839" w:type="pct"/>
            <w:vAlign w:val="center"/>
          </w:tcPr>
          <w:p w14:paraId="7800A579">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t>二级指标</w:t>
            </w:r>
          </w:p>
        </w:tc>
        <w:tc>
          <w:tcPr>
            <w:tcW w:w="648" w:type="pct"/>
            <w:vAlign w:val="center"/>
          </w:tcPr>
          <w:p w14:paraId="3E225F32">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t>单位</w:t>
            </w:r>
          </w:p>
        </w:tc>
        <w:tc>
          <w:tcPr>
            <w:tcW w:w="382" w:type="pct"/>
            <w:vAlign w:val="center"/>
          </w:tcPr>
          <w:p w14:paraId="3472B7E2">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14:textFill>
                  <w14:solidFill>
                    <w14:schemeClr w14:val="tx1"/>
                  </w14:solidFill>
                </w14:textFill>
              </w:rPr>
              <w:t>单项分值</w:t>
            </w:r>
          </w:p>
        </w:tc>
        <w:tc>
          <w:tcPr>
            <w:tcW w:w="1245" w:type="pct"/>
            <w:vAlign w:val="center"/>
          </w:tcPr>
          <w:p w14:paraId="1CE7BFE1">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lang w:val="en-US" w:eastAsia="zh-CN"/>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lang w:val="en-US" w:eastAsia="zh-CN"/>
                <w14:textFill>
                  <w14:solidFill>
                    <w14:schemeClr w14:val="tx1"/>
                  </w14:solidFill>
                </w14:textFill>
              </w:rPr>
              <w:t>计算说明</w:t>
            </w:r>
          </w:p>
        </w:tc>
        <w:tc>
          <w:tcPr>
            <w:tcW w:w="569" w:type="pct"/>
            <w:vAlign w:val="center"/>
          </w:tcPr>
          <w:p w14:paraId="3C88BE6F">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bCs/>
                <w:color w:val="000000" w:themeColor="text1"/>
                <w:spacing w:val="-4"/>
                <w:sz w:val="24"/>
                <w:szCs w:val="24"/>
                <w:lang w:val="en-US" w:eastAsia="zh-CN"/>
                <w14:textFill>
                  <w14:solidFill>
                    <w14:schemeClr w14:val="tx1"/>
                  </w14:solidFill>
                </w14:textFill>
              </w:rPr>
            </w:pPr>
            <w:r>
              <w:rPr>
                <w:rFonts w:hint="default" w:ascii="Times New Roman" w:hAnsi="Times New Roman" w:eastAsia="方正仿宋_GB2312" w:cs="Times New Roman"/>
                <w:b/>
                <w:bCs/>
                <w:color w:val="000000" w:themeColor="text1"/>
                <w:spacing w:val="-4"/>
                <w:sz w:val="24"/>
                <w:szCs w:val="24"/>
                <w:lang w:val="en-US" w:eastAsia="zh-CN"/>
                <w14:textFill>
                  <w14:solidFill>
                    <w14:schemeClr w14:val="tx1"/>
                  </w14:solidFill>
                </w14:textFill>
              </w:rPr>
              <w:t>数据支持部门</w:t>
            </w:r>
          </w:p>
        </w:tc>
      </w:tr>
      <w:tr w14:paraId="5053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272" w:type="pct"/>
            <w:vMerge w:val="restart"/>
            <w:vAlign w:val="center"/>
          </w:tcPr>
          <w:p w14:paraId="6DBEF5B2">
            <w:pPr>
              <w:widowControl/>
              <w:kinsoku w:val="0"/>
              <w:autoSpaceDE w:val="0"/>
              <w:autoSpaceDN w:val="0"/>
              <w:adjustRightInd w:val="0"/>
              <w:snapToGrid w:val="0"/>
              <w:spacing w:before="61" w:line="180" w:lineRule="auto"/>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default" w:ascii="Times New Roman" w:hAnsi="Times New Roman" w:eastAsia="方正仿宋_GB2312" w:cs="Times New Roman"/>
                <w:b w:val="0"/>
                <w:bCs w:val="0"/>
                <w:color w:val="000000" w:themeColor="text1"/>
                <w:sz w:val="24"/>
                <w:szCs w:val="24"/>
                <w14:textFill>
                  <w14:solidFill>
                    <w14:schemeClr w14:val="tx1"/>
                  </w14:solidFill>
                </w14:textFill>
              </w:rPr>
              <w:t>1</w:t>
            </w:r>
          </w:p>
        </w:tc>
        <w:tc>
          <w:tcPr>
            <w:tcW w:w="419" w:type="pct"/>
            <w:vMerge w:val="restart"/>
            <w:vAlign w:val="center"/>
          </w:tcPr>
          <w:p w14:paraId="15623C5B">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t>资源</w:t>
            </w:r>
            <w:r>
              <w:rPr>
                <w:rFonts w:hint="default" w:ascii="Times New Roman" w:hAnsi="Times New Roman" w:eastAsia="方正仿宋_GB2312" w:cs="Times New Roman"/>
                <w:b w:val="0"/>
                <w:bCs w:val="0"/>
                <w:color w:val="000000" w:themeColor="text1"/>
                <w:spacing w:val="-4"/>
                <w:sz w:val="24"/>
                <w:szCs w:val="24"/>
                <w:lang w:val="en-US" w:eastAsia="zh-CN"/>
                <w14:textFill>
                  <w14:solidFill>
                    <w14:schemeClr w14:val="tx1"/>
                  </w14:solidFill>
                </w14:textFill>
              </w:rPr>
              <w:t>节约高效</w:t>
            </w:r>
            <w:r>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t>利用</w:t>
            </w:r>
          </w:p>
        </w:tc>
        <w:tc>
          <w:tcPr>
            <w:tcW w:w="298" w:type="pct"/>
            <w:vMerge w:val="restart"/>
            <w:vAlign w:val="center"/>
          </w:tcPr>
          <w:p w14:paraId="7860D5DF">
            <w:pPr>
              <w:widowControl/>
              <w:kinsoku w:val="0"/>
              <w:autoSpaceDE w:val="0"/>
              <w:autoSpaceDN w:val="0"/>
              <w:adjustRightInd w:val="0"/>
              <w:snapToGrid w:val="0"/>
              <w:spacing w:line="26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p w14:paraId="5280BE66">
            <w:pPr>
              <w:widowControl/>
              <w:kinsoku w:val="0"/>
              <w:autoSpaceDE w:val="0"/>
              <w:autoSpaceDN w:val="0"/>
              <w:adjustRightInd w:val="0"/>
              <w:snapToGrid w:val="0"/>
              <w:spacing w:before="61" w:line="180" w:lineRule="auto"/>
              <w:jc w:val="center"/>
              <w:textAlignment w:val="baseline"/>
              <w:rPr>
                <w:rFonts w:hint="default" w:ascii="Times New Roman" w:hAnsi="Times New Roman" w:eastAsia="方正仿宋_GB2312" w:cs="Times New Roman"/>
                <w:color w:val="000000" w:themeColor="text1"/>
                <w:sz w:val="24"/>
                <w:szCs w:val="24"/>
                <w:lang w:val="en-US"/>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25</w:t>
            </w:r>
          </w:p>
        </w:tc>
        <w:tc>
          <w:tcPr>
            <w:tcW w:w="324" w:type="pct"/>
            <w:vAlign w:val="center"/>
          </w:tcPr>
          <w:p w14:paraId="48CD034E">
            <w:pPr>
              <w:widowControl/>
              <w:kinsoku w:val="0"/>
              <w:autoSpaceDE w:val="0"/>
              <w:autoSpaceDN w:val="0"/>
              <w:adjustRightInd w:val="0"/>
              <w:snapToGrid w:val="0"/>
              <w:spacing w:before="150" w:line="18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r>
              <w:rPr>
                <w:rFonts w:hint="default" w:ascii="Times New Roman" w:hAnsi="Times New Roman" w:eastAsia="方正仿宋_GB2312" w:cs="Times New Roman"/>
                <w:color w:val="000000" w:themeColor="text1"/>
                <w:spacing w:val="-5"/>
                <w:w w:val="98"/>
                <w:sz w:val="24"/>
                <w:szCs w:val="24"/>
                <w14:textFill>
                  <w14:solidFill>
                    <w14:schemeClr w14:val="tx1"/>
                  </w14:solidFill>
                </w14:textFill>
              </w:rPr>
              <w:t>1.1</w:t>
            </w:r>
          </w:p>
        </w:tc>
        <w:tc>
          <w:tcPr>
            <w:tcW w:w="839" w:type="pct"/>
            <w:vAlign w:val="center"/>
          </w:tcPr>
          <w:p w14:paraId="50F6CF1A">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土地</w:t>
            </w: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资源</w:t>
            </w:r>
            <w:r>
              <w:rPr>
                <w:rFonts w:hint="default" w:ascii="Times New Roman" w:hAnsi="Times New Roman" w:eastAsia="方正仿宋_GB2312" w:cs="Times New Roman"/>
                <w:color w:val="000000" w:themeColor="text1"/>
                <w:spacing w:val="-3"/>
                <w:sz w:val="24"/>
                <w:szCs w:val="24"/>
                <w14:textFill>
                  <w14:solidFill>
                    <w14:schemeClr w14:val="tx1"/>
                  </w14:solidFill>
                </w14:textFill>
              </w:rPr>
              <w:t>产出率</w:t>
            </w:r>
          </w:p>
        </w:tc>
        <w:tc>
          <w:tcPr>
            <w:tcW w:w="648" w:type="pct"/>
            <w:vAlign w:val="center"/>
          </w:tcPr>
          <w:p w14:paraId="273EE924">
            <w:pPr>
              <w:widowControl/>
              <w:kinsoku w:val="0"/>
              <w:autoSpaceDE w:val="0"/>
              <w:autoSpaceDN w:val="0"/>
              <w:adjustRightInd w:val="0"/>
              <w:snapToGrid w:val="0"/>
              <w:spacing w:before="111" w:line="221"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亿元/平方公里</w:t>
            </w:r>
          </w:p>
        </w:tc>
        <w:tc>
          <w:tcPr>
            <w:tcW w:w="382" w:type="pct"/>
            <w:vAlign w:val="center"/>
          </w:tcPr>
          <w:p w14:paraId="317F1C9A">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6</w:t>
            </w:r>
          </w:p>
        </w:tc>
        <w:tc>
          <w:tcPr>
            <w:tcW w:w="1245" w:type="pct"/>
            <w:vAlign w:val="center"/>
          </w:tcPr>
          <w:p w14:paraId="36F6C0C6">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根据企业超过行业平均绩效水平的程度赋分。</w:t>
            </w:r>
          </w:p>
        </w:tc>
        <w:tc>
          <w:tcPr>
            <w:tcW w:w="569" w:type="pct"/>
            <w:vAlign w:val="center"/>
          </w:tcPr>
          <w:p w14:paraId="41823953">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区发改委</w:t>
            </w:r>
          </w:p>
        </w:tc>
      </w:tr>
      <w:tr w14:paraId="36EF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3AA74B9A">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57B4AF88">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4C798A86">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2A180EC6">
            <w:pPr>
              <w:widowControl/>
              <w:kinsoku w:val="0"/>
              <w:autoSpaceDE w:val="0"/>
              <w:autoSpaceDN w:val="0"/>
              <w:adjustRightInd w:val="0"/>
              <w:snapToGrid w:val="0"/>
              <w:spacing w:before="152" w:line="18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r>
              <w:rPr>
                <w:rFonts w:hint="default" w:ascii="Times New Roman" w:hAnsi="Times New Roman" w:eastAsia="方正仿宋_GB2312" w:cs="Times New Roman"/>
                <w:color w:val="000000" w:themeColor="text1"/>
                <w:spacing w:val="-5"/>
                <w:w w:val="91"/>
                <w:sz w:val="24"/>
                <w:szCs w:val="24"/>
                <w14:textFill>
                  <w14:solidFill>
                    <w14:schemeClr w14:val="tx1"/>
                  </w14:solidFill>
                </w14:textFill>
              </w:rPr>
              <w:t>1.2</w:t>
            </w:r>
          </w:p>
        </w:tc>
        <w:tc>
          <w:tcPr>
            <w:tcW w:w="839" w:type="pct"/>
            <w:vAlign w:val="center"/>
          </w:tcPr>
          <w:p w14:paraId="155366B4">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t>能源利用效率</w:t>
            </w:r>
          </w:p>
        </w:tc>
        <w:tc>
          <w:tcPr>
            <w:tcW w:w="648" w:type="pct"/>
            <w:vAlign w:val="center"/>
          </w:tcPr>
          <w:p w14:paraId="359B024D">
            <w:pPr>
              <w:widowControl/>
              <w:kinsoku w:val="0"/>
              <w:autoSpaceDE w:val="0"/>
              <w:autoSpaceDN w:val="0"/>
              <w:adjustRightInd w:val="0"/>
              <w:snapToGrid w:val="0"/>
              <w:spacing w:before="110" w:line="221"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4"/>
                <w:sz w:val="24"/>
                <w:szCs w:val="24"/>
                <w14:textFill>
                  <w14:solidFill>
                    <w14:schemeClr w14:val="tx1"/>
                  </w14:solidFill>
                </w14:textFill>
              </w:rPr>
              <w:t>吨标煤/万元</w:t>
            </w:r>
          </w:p>
        </w:tc>
        <w:tc>
          <w:tcPr>
            <w:tcW w:w="382" w:type="pct"/>
            <w:vAlign w:val="center"/>
          </w:tcPr>
          <w:p w14:paraId="4BECEBD4">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6</w:t>
            </w:r>
          </w:p>
        </w:tc>
        <w:tc>
          <w:tcPr>
            <w:tcW w:w="1245" w:type="pct"/>
            <w:vAlign w:val="center"/>
          </w:tcPr>
          <w:p w14:paraId="1AAE7A42">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根据企业超过行业平均绩效水平的程度赋分。</w:t>
            </w:r>
          </w:p>
        </w:tc>
        <w:tc>
          <w:tcPr>
            <w:tcW w:w="569" w:type="pct"/>
            <w:vAlign w:val="center"/>
          </w:tcPr>
          <w:p w14:paraId="751C63D9">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区科经委</w:t>
            </w:r>
          </w:p>
        </w:tc>
      </w:tr>
      <w:tr w14:paraId="2B3B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2" w:type="pct"/>
            <w:vMerge w:val="continue"/>
            <w:vAlign w:val="center"/>
          </w:tcPr>
          <w:p w14:paraId="6AB1726E">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66BE230C">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1EACEF9A">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1B095691">
            <w:pPr>
              <w:widowControl/>
              <w:kinsoku w:val="0"/>
              <w:autoSpaceDE w:val="0"/>
              <w:autoSpaceDN w:val="0"/>
              <w:adjustRightInd w:val="0"/>
              <w:snapToGrid w:val="0"/>
              <w:spacing w:before="152" w:line="18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r>
              <w:rPr>
                <w:rFonts w:hint="default" w:ascii="Times New Roman" w:hAnsi="Times New Roman" w:eastAsia="方正仿宋_GB2312" w:cs="Times New Roman"/>
                <w:color w:val="000000" w:themeColor="text1"/>
                <w:spacing w:val="-5"/>
                <w:w w:val="93"/>
                <w:sz w:val="24"/>
                <w:szCs w:val="24"/>
                <w14:textFill>
                  <w14:solidFill>
                    <w14:schemeClr w14:val="tx1"/>
                  </w14:solidFill>
                </w14:textFill>
              </w:rPr>
              <w:t>1.3</w:t>
            </w:r>
          </w:p>
        </w:tc>
        <w:tc>
          <w:tcPr>
            <w:tcW w:w="839" w:type="pct"/>
            <w:vAlign w:val="center"/>
          </w:tcPr>
          <w:p w14:paraId="78A18A09">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水资源利用效率</w:t>
            </w:r>
          </w:p>
        </w:tc>
        <w:tc>
          <w:tcPr>
            <w:tcW w:w="648" w:type="pct"/>
            <w:vAlign w:val="center"/>
          </w:tcPr>
          <w:p w14:paraId="39A2A130">
            <w:pPr>
              <w:widowControl/>
              <w:kinsoku w:val="0"/>
              <w:autoSpaceDE w:val="0"/>
              <w:autoSpaceDN w:val="0"/>
              <w:adjustRightInd w:val="0"/>
              <w:snapToGrid w:val="0"/>
              <w:spacing w:before="110" w:line="221"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r>
              <w:rPr>
                <w:rFonts w:hint="default" w:ascii="Times New Roman" w:hAnsi="Times New Roman" w:eastAsia="方正仿宋_GB2312" w:cs="Times New Roman"/>
                <w:color w:val="000000" w:themeColor="text1"/>
                <w:spacing w:val="-4"/>
                <w:sz w:val="24"/>
                <w:szCs w:val="24"/>
                <w14:textFill>
                  <w14:solidFill>
                    <w14:schemeClr w14:val="tx1"/>
                  </w14:solidFill>
                </w14:textFill>
              </w:rPr>
              <w:t>立方米/万元</w:t>
            </w:r>
          </w:p>
        </w:tc>
        <w:tc>
          <w:tcPr>
            <w:tcW w:w="382" w:type="pct"/>
            <w:vAlign w:val="center"/>
          </w:tcPr>
          <w:p w14:paraId="5D2AAC88">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6</w:t>
            </w:r>
          </w:p>
        </w:tc>
        <w:tc>
          <w:tcPr>
            <w:tcW w:w="1245" w:type="pct"/>
            <w:vAlign w:val="center"/>
          </w:tcPr>
          <w:p w14:paraId="2D3947CA">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根据企业超过行业平均绩效水平的程度赋分。</w:t>
            </w:r>
          </w:p>
        </w:tc>
        <w:tc>
          <w:tcPr>
            <w:tcW w:w="569" w:type="pct"/>
            <w:vAlign w:val="center"/>
          </w:tcPr>
          <w:p w14:paraId="3F8E3216">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1457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69A874B1">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16B7943E">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1A3F1B40">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7DE68577">
            <w:pPr>
              <w:widowControl/>
              <w:kinsoku w:val="0"/>
              <w:autoSpaceDE w:val="0"/>
              <w:autoSpaceDN w:val="0"/>
              <w:adjustRightInd w:val="0"/>
              <w:snapToGrid w:val="0"/>
              <w:spacing w:before="151"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5"/>
                <w:w w:val="91"/>
                <w:sz w:val="24"/>
                <w:szCs w:val="24"/>
                <w14:textFill>
                  <w14:solidFill>
                    <w14:schemeClr w14:val="tx1"/>
                  </w14:solidFill>
                </w14:textFill>
              </w:rPr>
              <w:t>1.</w:t>
            </w:r>
            <w:r>
              <w:rPr>
                <w:rFonts w:hint="default" w:ascii="Times New Roman" w:hAnsi="Times New Roman" w:eastAsia="方正仿宋_GB2312" w:cs="Times New Roman"/>
                <w:color w:val="000000" w:themeColor="text1"/>
                <w:spacing w:val="-5"/>
                <w:w w:val="91"/>
                <w:sz w:val="24"/>
                <w:szCs w:val="24"/>
                <w:lang w:val="en-US" w:eastAsia="zh-CN"/>
                <w14:textFill>
                  <w14:solidFill>
                    <w14:schemeClr w14:val="tx1"/>
                  </w14:solidFill>
                </w14:textFill>
              </w:rPr>
              <w:t>4</w:t>
            </w:r>
          </w:p>
        </w:tc>
        <w:tc>
          <w:tcPr>
            <w:tcW w:w="839" w:type="pct"/>
            <w:vAlign w:val="center"/>
          </w:tcPr>
          <w:p w14:paraId="41FBA794">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废弃物综合利用率</w:t>
            </w:r>
          </w:p>
        </w:tc>
        <w:tc>
          <w:tcPr>
            <w:tcW w:w="648" w:type="pct"/>
            <w:vAlign w:val="center"/>
          </w:tcPr>
          <w:p w14:paraId="15C41F1C">
            <w:pPr>
              <w:widowControl/>
              <w:kinsoku w:val="0"/>
              <w:autoSpaceDE w:val="0"/>
              <w:autoSpaceDN w:val="0"/>
              <w:adjustRightInd w:val="0"/>
              <w:snapToGrid w:val="0"/>
              <w:spacing w:before="111" w:line="221"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w:t>
            </w:r>
          </w:p>
        </w:tc>
        <w:tc>
          <w:tcPr>
            <w:tcW w:w="382" w:type="pct"/>
            <w:vAlign w:val="center"/>
          </w:tcPr>
          <w:p w14:paraId="41E19527">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7</w:t>
            </w:r>
          </w:p>
        </w:tc>
        <w:tc>
          <w:tcPr>
            <w:tcW w:w="1245" w:type="pct"/>
            <w:vAlign w:val="center"/>
          </w:tcPr>
          <w:p w14:paraId="6BB81715">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根据废弃物综合利用程度赋分。</w:t>
            </w:r>
          </w:p>
        </w:tc>
        <w:tc>
          <w:tcPr>
            <w:tcW w:w="569" w:type="pct"/>
            <w:vAlign w:val="center"/>
          </w:tcPr>
          <w:p w14:paraId="1ABA378C">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34C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50F8F1D1">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795A05E9">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restart"/>
            <w:vAlign w:val="center"/>
          </w:tcPr>
          <w:p w14:paraId="2B83DBAF">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加分项</w:t>
            </w:r>
          </w:p>
        </w:tc>
        <w:tc>
          <w:tcPr>
            <w:tcW w:w="324" w:type="pct"/>
            <w:vAlign w:val="center"/>
          </w:tcPr>
          <w:p w14:paraId="23C9B002">
            <w:pPr>
              <w:widowControl/>
              <w:kinsoku w:val="0"/>
              <w:autoSpaceDE w:val="0"/>
              <w:autoSpaceDN w:val="0"/>
              <w:adjustRightInd w:val="0"/>
              <w:snapToGrid w:val="0"/>
              <w:spacing w:before="151" w:line="180"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1.5</w:t>
            </w:r>
          </w:p>
        </w:tc>
        <w:tc>
          <w:tcPr>
            <w:tcW w:w="839" w:type="pct"/>
            <w:vAlign w:val="center"/>
          </w:tcPr>
          <w:p w14:paraId="1109767F">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再生原料使用率</w:t>
            </w:r>
          </w:p>
        </w:tc>
        <w:tc>
          <w:tcPr>
            <w:tcW w:w="648" w:type="pct"/>
            <w:vAlign w:val="center"/>
          </w:tcPr>
          <w:p w14:paraId="30AA284C">
            <w:pPr>
              <w:widowControl/>
              <w:kinsoku w:val="0"/>
              <w:autoSpaceDE w:val="0"/>
              <w:autoSpaceDN w:val="0"/>
              <w:adjustRightInd w:val="0"/>
              <w:snapToGrid w:val="0"/>
              <w:spacing w:before="110" w:line="221" w:lineRule="auto"/>
              <w:jc w:val="center"/>
              <w:textAlignment w:val="baseline"/>
              <w:rPr>
                <w:rFonts w:hint="default" w:ascii="Times New Roman" w:hAnsi="Times New Roman" w:eastAsia="方正仿宋_GB2312" w:cs="Times New Roman"/>
                <w:snapToGrid w:val="0"/>
                <w:color w:val="000000" w:themeColor="text1"/>
                <w:spacing w:val="-4"/>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4"/>
                <w:sz w:val="24"/>
                <w:szCs w:val="24"/>
                <w:lang w:val="en-US" w:eastAsia="zh-CN"/>
                <w14:textFill>
                  <w14:solidFill>
                    <w14:schemeClr w14:val="tx1"/>
                  </w14:solidFill>
                </w14:textFill>
              </w:rPr>
              <w:t>%</w:t>
            </w:r>
          </w:p>
        </w:tc>
        <w:tc>
          <w:tcPr>
            <w:tcW w:w="382" w:type="pct"/>
            <w:vAlign w:val="center"/>
          </w:tcPr>
          <w:p w14:paraId="18E7C592">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w:t>
            </w:r>
          </w:p>
        </w:tc>
        <w:tc>
          <w:tcPr>
            <w:tcW w:w="1245" w:type="pct"/>
            <w:vAlign w:val="center"/>
          </w:tcPr>
          <w:p w14:paraId="7B3E3B2A">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ind w:left="0" w:leftChars="0" w:firstLine="0" w:firstLineChars="0"/>
              <w:jc w:val="left"/>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根据企业再生原料使用情况赋分。</w:t>
            </w:r>
          </w:p>
        </w:tc>
        <w:tc>
          <w:tcPr>
            <w:tcW w:w="569" w:type="pct"/>
            <w:vAlign w:val="center"/>
          </w:tcPr>
          <w:p w14:paraId="703F3EE7">
            <w:pPr>
              <w:widowControl/>
              <w:numPr>
                <w:ilvl w:val="0"/>
                <w:numId w:val="0"/>
              </w:numPr>
              <w:kinsoku w:val="0"/>
              <w:autoSpaceDE w:val="0"/>
              <w:autoSpaceDN w:val="0"/>
              <w:adjustRightInd w:val="0"/>
              <w:snapToGrid w:val="0"/>
              <w:spacing w:before="68" w:line="188" w:lineRule="auto"/>
              <w:ind w:left="0" w:leftChars="0" w:firstLine="0" w:firstLineChars="0"/>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2A95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3519E1C7">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722B590A">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3BFB26BA">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324" w:type="pct"/>
            <w:vAlign w:val="center"/>
          </w:tcPr>
          <w:p w14:paraId="6F98514A">
            <w:pPr>
              <w:widowControl/>
              <w:kinsoku w:val="0"/>
              <w:autoSpaceDE w:val="0"/>
              <w:autoSpaceDN w:val="0"/>
              <w:adjustRightInd w:val="0"/>
              <w:snapToGrid w:val="0"/>
              <w:spacing w:before="151"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1.6</w:t>
            </w:r>
          </w:p>
        </w:tc>
        <w:tc>
          <w:tcPr>
            <w:tcW w:w="839" w:type="pct"/>
            <w:vAlign w:val="center"/>
          </w:tcPr>
          <w:p w14:paraId="2105851B">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t>无废细胞建设</w:t>
            </w:r>
          </w:p>
        </w:tc>
        <w:tc>
          <w:tcPr>
            <w:tcW w:w="648" w:type="pct"/>
            <w:vAlign w:val="center"/>
          </w:tcPr>
          <w:p w14:paraId="65DB198A">
            <w:pPr>
              <w:widowControl/>
              <w:kinsoku w:val="0"/>
              <w:autoSpaceDE w:val="0"/>
              <w:autoSpaceDN w:val="0"/>
              <w:adjustRightInd w:val="0"/>
              <w:snapToGrid w:val="0"/>
              <w:spacing w:before="110" w:line="221" w:lineRule="auto"/>
              <w:jc w:val="center"/>
              <w:textAlignment w:val="baseline"/>
              <w:rPr>
                <w:rFonts w:hint="default" w:ascii="Times New Roman" w:hAnsi="Times New Roman" w:eastAsia="方正仿宋_GB2312" w:cs="Times New Roman"/>
                <w:color w:val="000000" w:themeColor="text1"/>
                <w:spacing w:val="-4"/>
                <w:sz w:val="24"/>
                <w:szCs w:val="24"/>
                <w:lang w:val="en-US" w:eastAsia="zh-CN"/>
                <w14:textFill>
                  <w14:solidFill>
                    <w14:schemeClr w14:val="tx1"/>
                  </w14:solidFill>
                </w14:textFill>
              </w:rPr>
            </w:pPr>
            <w:r>
              <w:rPr>
                <w:rFonts w:hint="default" w:ascii="Times New Roman" w:hAnsi="Times New Roman" w:eastAsia="方正仿宋_GB2312" w:cs="Times New Roman"/>
                <w:snapToGrid w:val="0"/>
                <w:color w:val="000000" w:themeColor="text1"/>
                <w:spacing w:val="-4"/>
                <w:sz w:val="24"/>
                <w:szCs w:val="24"/>
                <w:lang w:val="en-US" w:eastAsia="zh-CN" w:bidi="ar-SA"/>
                <w14:textFill>
                  <w14:solidFill>
                    <w14:schemeClr w14:val="tx1"/>
                  </w14:solidFill>
                </w14:textFill>
              </w:rPr>
              <w:t>/</w:t>
            </w:r>
          </w:p>
        </w:tc>
        <w:tc>
          <w:tcPr>
            <w:tcW w:w="382" w:type="pct"/>
            <w:vAlign w:val="center"/>
          </w:tcPr>
          <w:p w14:paraId="66D274EC">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t>3</w:t>
            </w:r>
          </w:p>
        </w:tc>
        <w:tc>
          <w:tcPr>
            <w:tcW w:w="1245" w:type="pct"/>
            <w:vAlign w:val="center"/>
          </w:tcPr>
          <w:p w14:paraId="0DBD2181">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ind w:left="0" w:leftChars="0" w:firstLine="0" w:firstLineChars="0"/>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t>根据企业参与“无废细胞”建设情况</w:t>
            </w: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赋分</w:t>
            </w:r>
            <w:r>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t>。</w:t>
            </w:r>
          </w:p>
        </w:tc>
        <w:tc>
          <w:tcPr>
            <w:tcW w:w="569" w:type="pct"/>
            <w:vAlign w:val="center"/>
          </w:tcPr>
          <w:p w14:paraId="3B5316DB">
            <w:pPr>
              <w:widowControl/>
              <w:numPr>
                <w:ilvl w:val="0"/>
                <w:numId w:val="0"/>
              </w:numPr>
              <w:kinsoku w:val="0"/>
              <w:autoSpaceDE w:val="0"/>
              <w:autoSpaceDN w:val="0"/>
              <w:adjustRightInd w:val="0"/>
              <w:snapToGrid w:val="0"/>
              <w:spacing w:before="68" w:line="188" w:lineRule="auto"/>
              <w:ind w:left="0" w:leftChars="0" w:firstLine="0" w:firstLineChars="0"/>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t>企业填报</w:t>
            </w:r>
          </w:p>
        </w:tc>
      </w:tr>
      <w:tr w14:paraId="1AC7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restart"/>
            <w:vAlign w:val="center"/>
          </w:tcPr>
          <w:p w14:paraId="5363DEFC">
            <w:pPr>
              <w:widowControl/>
              <w:kinsoku w:val="0"/>
              <w:autoSpaceDE w:val="0"/>
              <w:autoSpaceDN w:val="0"/>
              <w:adjustRightInd w:val="0"/>
              <w:snapToGrid w:val="0"/>
              <w:spacing w:before="61" w:line="180" w:lineRule="auto"/>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default" w:ascii="Times New Roman" w:hAnsi="Times New Roman" w:eastAsia="方正仿宋_GB2312" w:cs="Times New Roman"/>
                <w:b w:val="0"/>
                <w:bCs w:val="0"/>
                <w:color w:val="000000" w:themeColor="text1"/>
                <w:sz w:val="24"/>
                <w:szCs w:val="24"/>
                <w14:textFill>
                  <w14:solidFill>
                    <w14:schemeClr w14:val="tx1"/>
                  </w14:solidFill>
                </w14:textFill>
              </w:rPr>
              <w:t>2</w:t>
            </w:r>
          </w:p>
        </w:tc>
        <w:tc>
          <w:tcPr>
            <w:tcW w:w="419" w:type="pct"/>
            <w:vMerge w:val="restart"/>
            <w:vAlign w:val="center"/>
          </w:tcPr>
          <w:p w14:paraId="5F39D9E6">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pacing w:val="-3"/>
                <w:sz w:val="24"/>
                <w:szCs w:val="24"/>
                <w14:textFill>
                  <w14:solidFill>
                    <w14:schemeClr w14:val="tx1"/>
                  </w14:solidFill>
                </w14:textFill>
              </w:rPr>
              <w:t>污染防治</w:t>
            </w:r>
            <w:r>
              <w:rPr>
                <w:rFonts w:hint="default" w:ascii="Times New Roman" w:hAnsi="Times New Roman" w:eastAsia="方正仿宋_GB2312" w:cs="Times New Roman"/>
                <w:b w:val="0"/>
                <w:bCs w:val="0"/>
                <w:color w:val="000000" w:themeColor="text1"/>
                <w:spacing w:val="-3"/>
                <w:sz w:val="24"/>
                <w:szCs w:val="24"/>
                <w:lang w:val="en-US" w:eastAsia="zh-CN"/>
                <w14:textFill>
                  <w14:solidFill>
                    <w14:schemeClr w14:val="tx1"/>
                  </w14:solidFill>
                </w14:textFill>
              </w:rPr>
              <w:t>和生态保护</w:t>
            </w:r>
          </w:p>
        </w:tc>
        <w:tc>
          <w:tcPr>
            <w:tcW w:w="298" w:type="pct"/>
            <w:vMerge w:val="restart"/>
            <w:vAlign w:val="center"/>
          </w:tcPr>
          <w:p w14:paraId="1D9A71BE">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z w:val="24"/>
                <w:szCs w:val="24"/>
                <w:lang w:val="en-US"/>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25</w:t>
            </w:r>
          </w:p>
        </w:tc>
        <w:tc>
          <w:tcPr>
            <w:tcW w:w="324" w:type="pct"/>
            <w:vAlign w:val="center"/>
          </w:tcPr>
          <w:p w14:paraId="5E080383">
            <w:pPr>
              <w:widowControl/>
              <w:kinsoku w:val="0"/>
              <w:autoSpaceDE w:val="0"/>
              <w:autoSpaceDN w:val="0"/>
              <w:adjustRightInd w:val="0"/>
              <w:snapToGrid w:val="0"/>
              <w:spacing w:before="153" w:line="180" w:lineRule="auto"/>
              <w:jc w:val="center"/>
              <w:textAlignment w:val="baseline"/>
              <w:rPr>
                <w:rFonts w:hint="default" w:ascii="Times New Roman" w:hAnsi="Times New Roman" w:eastAsia="方正仿宋_GB2312" w:cs="Times New Roman"/>
                <w:color w:val="000000" w:themeColor="text1"/>
                <w:spacing w:val="-5"/>
                <w:w w:val="97"/>
                <w:sz w:val="24"/>
                <w:szCs w:val="24"/>
                <w14:textFill>
                  <w14:solidFill>
                    <w14:schemeClr w14:val="tx1"/>
                  </w14:solidFill>
                </w14:textFill>
              </w:rPr>
            </w:pPr>
            <w:r>
              <w:rPr>
                <w:rFonts w:hint="default" w:ascii="Times New Roman" w:hAnsi="Times New Roman" w:eastAsia="方正仿宋_GB2312" w:cs="Times New Roman"/>
                <w:color w:val="000000" w:themeColor="text1"/>
                <w:spacing w:val="-5"/>
                <w:w w:val="97"/>
                <w:sz w:val="24"/>
                <w:szCs w:val="24"/>
                <w14:textFill>
                  <w14:solidFill>
                    <w14:schemeClr w14:val="tx1"/>
                  </w14:solidFill>
                </w14:textFill>
              </w:rPr>
              <w:t>2.1</w:t>
            </w:r>
          </w:p>
        </w:tc>
        <w:tc>
          <w:tcPr>
            <w:tcW w:w="839" w:type="pct"/>
            <w:vAlign w:val="center"/>
          </w:tcPr>
          <w:p w14:paraId="3B32DE72">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大气污染物排放强度</w:t>
            </w:r>
          </w:p>
        </w:tc>
        <w:tc>
          <w:tcPr>
            <w:tcW w:w="648" w:type="pct"/>
            <w:vAlign w:val="center"/>
          </w:tcPr>
          <w:p w14:paraId="3B666A36">
            <w:pPr>
              <w:widowControl/>
              <w:kinsoku w:val="0"/>
              <w:autoSpaceDE w:val="0"/>
              <w:autoSpaceDN w:val="0"/>
              <w:adjustRightInd w:val="0"/>
              <w:snapToGrid w:val="0"/>
              <w:spacing w:before="111" w:line="221" w:lineRule="auto"/>
              <w:jc w:val="center"/>
              <w:textAlignment w:val="baseline"/>
              <w:rPr>
                <w:rFonts w:hint="default" w:ascii="Times New Roman" w:hAnsi="Times New Roman" w:eastAsia="方正仿宋_GB2312" w:cs="Times New Roman"/>
                <w:snapToGrid w:val="0"/>
                <w:color w:val="000000" w:themeColor="text1"/>
                <w:sz w:val="24"/>
                <w:szCs w:val="24"/>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污染当量/万元</w:t>
            </w:r>
          </w:p>
        </w:tc>
        <w:tc>
          <w:tcPr>
            <w:tcW w:w="382" w:type="pct"/>
            <w:vAlign w:val="center"/>
          </w:tcPr>
          <w:p w14:paraId="6DB22995">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7</w:t>
            </w:r>
          </w:p>
        </w:tc>
        <w:tc>
          <w:tcPr>
            <w:tcW w:w="1245" w:type="pct"/>
            <w:vAlign w:val="center"/>
          </w:tcPr>
          <w:p w14:paraId="0B654B05">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根据企业优于所属行业平均水平程度或优于</w:t>
            </w:r>
            <w:r>
              <w:rPr>
                <w:rFonts w:hint="default" w:ascii="Times New Roman" w:hAnsi="Times New Roman" w:eastAsia="方正仿宋_GB2312" w:cs="Times New Roman"/>
                <w:color w:val="000000" w:themeColor="text1"/>
                <w:sz w:val="24"/>
                <w:szCs w:val="24"/>
                <w:highlight w:val="none"/>
                <w:lang w:val="en-US" w:eastAsia="zh-CN"/>
                <w14:textFill>
                  <w14:solidFill>
                    <w14:schemeClr w14:val="tx1"/>
                  </w14:solidFill>
                </w14:textFill>
              </w:rPr>
              <w:t>自身上一年度同期排放强度情况</w:t>
            </w: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赋分。</w:t>
            </w:r>
          </w:p>
        </w:tc>
        <w:tc>
          <w:tcPr>
            <w:tcW w:w="569" w:type="pct"/>
            <w:vAlign w:val="center"/>
          </w:tcPr>
          <w:p w14:paraId="3674EA2B">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788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002BC037">
            <w:pPr>
              <w:widowControl/>
              <w:kinsoku w:val="0"/>
              <w:autoSpaceDE w:val="0"/>
              <w:autoSpaceDN w:val="0"/>
              <w:adjustRightInd w:val="0"/>
              <w:snapToGrid w:val="0"/>
              <w:spacing w:before="61" w:line="180" w:lineRule="auto"/>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423AC280">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3"/>
                <w:sz w:val="24"/>
                <w:szCs w:val="24"/>
                <w14:textFill>
                  <w14:solidFill>
                    <w14:schemeClr w14:val="tx1"/>
                  </w14:solidFill>
                </w14:textFill>
              </w:rPr>
            </w:pPr>
          </w:p>
        </w:tc>
        <w:tc>
          <w:tcPr>
            <w:tcW w:w="298" w:type="pct"/>
            <w:vMerge w:val="continue"/>
            <w:vAlign w:val="center"/>
          </w:tcPr>
          <w:p w14:paraId="0C975BED">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21BC33BB">
            <w:pPr>
              <w:widowControl/>
              <w:kinsoku w:val="0"/>
              <w:autoSpaceDE w:val="0"/>
              <w:autoSpaceDN w:val="0"/>
              <w:adjustRightInd w:val="0"/>
              <w:snapToGrid w:val="0"/>
              <w:spacing w:before="153" w:line="180" w:lineRule="auto"/>
              <w:jc w:val="center"/>
              <w:textAlignment w:val="baseline"/>
              <w:rPr>
                <w:rFonts w:hint="default" w:ascii="Times New Roman" w:hAnsi="Times New Roman" w:eastAsia="方正仿宋_GB2312" w:cs="Times New Roman"/>
                <w:color w:val="000000" w:themeColor="text1"/>
                <w:spacing w:val="-5"/>
                <w:w w:val="97"/>
                <w:sz w:val="24"/>
                <w:szCs w:val="24"/>
                <w14:textFill>
                  <w14:solidFill>
                    <w14:schemeClr w14:val="tx1"/>
                  </w14:solidFill>
                </w14:textFill>
              </w:rPr>
            </w:pPr>
            <w:r>
              <w:rPr>
                <w:rFonts w:hint="default" w:ascii="Times New Roman" w:hAnsi="Times New Roman" w:eastAsia="方正仿宋_GB2312" w:cs="Times New Roman"/>
                <w:color w:val="000000" w:themeColor="text1"/>
                <w:spacing w:val="-5"/>
                <w:w w:val="97"/>
                <w:sz w:val="24"/>
                <w:szCs w:val="24"/>
                <w14:textFill>
                  <w14:solidFill>
                    <w14:schemeClr w14:val="tx1"/>
                  </w14:solidFill>
                </w14:textFill>
              </w:rPr>
              <w:t>2.2</w:t>
            </w:r>
          </w:p>
        </w:tc>
        <w:tc>
          <w:tcPr>
            <w:tcW w:w="839" w:type="pct"/>
            <w:vAlign w:val="center"/>
          </w:tcPr>
          <w:p w14:paraId="3E73A390">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水污染物排放强度</w:t>
            </w:r>
          </w:p>
        </w:tc>
        <w:tc>
          <w:tcPr>
            <w:tcW w:w="648" w:type="pct"/>
            <w:vAlign w:val="center"/>
          </w:tcPr>
          <w:p w14:paraId="0E1B5665">
            <w:pPr>
              <w:widowControl/>
              <w:kinsoku w:val="0"/>
              <w:autoSpaceDE w:val="0"/>
              <w:autoSpaceDN w:val="0"/>
              <w:adjustRightInd w:val="0"/>
              <w:snapToGrid w:val="0"/>
              <w:spacing w:before="111" w:line="221"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污染当量/万元</w:t>
            </w:r>
          </w:p>
        </w:tc>
        <w:tc>
          <w:tcPr>
            <w:tcW w:w="382" w:type="pct"/>
            <w:vAlign w:val="center"/>
          </w:tcPr>
          <w:p w14:paraId="74AE7E63">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7</w:t>
            </w:r>
          </w:p>
        </w:tc>
        <w:tc>
          <w:tcPr>
            <w:tcW w:w="1245" w:type="pct"/>
            <w:vAlign w:val="center"/>
          </w:tcPr>
          <w:p w14:paraId="0E696D94">
            <w:pPr>
              <w:keepNext w:val="0"/>
              <w:keepLines w:val="0"/>
              <w:pageBreakBefore w:val="0"/>
              <w:widowControl/>
              <w:numPr>
                <w:ilvl w:val="0"/>
                <w:numId w:val="0"/>
              </w:numPr>
              <w:kinsoku/>
              <w:wordWrap/>
              <w:overflowPunct/>
              <w:topLinePunct w:val="0"/>
              <w:autoSpaceDE w:val="0"/>
              <w:autoSpaceDN w:val="0"/>
              <w:bidi w:val="0"/>
              <w:adjustRightInd w:val="0"/>
              <w:snapToGrid w:val="0"/>
              <w:spacing w:before="0"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根据企业优于所属行业平均水平程度或优于自身上一年度同期排放强度情况赋分。</w:t>
            </w:r>
          </w:p>
        </w:tc>
        <w:tc>
          <w:tcPr>
            <w:tcW w:w="569" w:type="pct"/>
            <w:vAlign w:val="center"/>
          </w:tcPr>
          <w:p w14:paraId="6BC270DE">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1B51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0BC75BAC">
            <w:pPr>
              <w:widowControl/>
              <w:kinsoku w:val="0"/>
              <w:autoSpaceDE w:val="0"/>
              <w:autoSpaceDN w:val="0"/>
              <w:adjustRightInd w:val="0"/>
              <w:snapToGrid w:val="0"/>
              <w:spacing w:before="61" w:line="180" w:lineRule="auto"/>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392A4947">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3"/>
                <w:sz w:val="24"/>
                <w:szCs w:val="24"/>
                <w14:textFill>
                  <w14:solidFill>
                    <w14:schemeClr w14:val="tx1"/>
                  </w14:solidFill>
                </w14:textFill>
              </w:rPr>
            </w:pPr>
          </w:p>
        </w:tc>
        <w:tc>
          <w:tcPr>
            <w:tcW w:w="298" w:type="pct"/>
            <w:vMerge w:val="continue"/>
            <w:vAlign w:val="center"/>
          </w:tcPr>
          <w:p w14:paraId="3CE98F72">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5ADD301A">
            <w:pPr>
              <w:widowControl/>
              <w:kinsoku w:val="0"/>
              <w:autoSpaceDE w:val="0"/>
              <w:autoSpaceDN w:val="0"/>
              <w:adjustRightInd w:val="0"/>
              <w:snapToGrid w:val="0"/>
              <w:spacing w:before="153" w:line="180" w:lineRule="auto"/>
              <w:jc w:val="center"/>
              <w:textAlignment w:val="baseline"/>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t>2.3</w:t>
            </w:r>
          </w:p>
        </w:tc>
        <w:tc>
          <w:tcPr>
            <w:tcW w:w="839" w:type="pct"/>
            <w:vAlign w:val="center"/>
          </w:tcPr>
          <w:p w14:paraId="4085BB12">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危险废物防控</w:t>
            </w:r>
          </w:p>
        </w:tc>
        <w:tc>
          <w:tcPr>
            <w:tcW w:w="648" w:type="pct"/>
            <w:vAlign w:val="center"/>
          </w:tcPr>
          <w:p w14:paraId="4CD40509">
            <w:pPr>
              <w:widowControl/>
              <w:kinsoku w:val="0"/>
              <w:autoSpaceDE w:val="0"/>
              <w:autoSpaceDN w:val="0"/>
              <w:adjustRightInd w:val="0"/>
              <w:snapToGrid w:val="0"/>
              <w:spacing w:before="111" w:line="221"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w:t>
            </w:r>
          </w:p>
        </w:tc>
        <w:tc>
          <w:tcPr>
            <w:tcW w:w="382" w:type="pct"/>
            <w:vAlign w:val="center"/>
          </w:tcPr>
          <w:p w14:paraId="389E78AF">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7</w:t>
            </w:r>
          </w:p>
        </w:tc>
        <w:tc>
          <w:tcPr>
            <w:tcW w:w="1245" w:type="pct"/>
            <w:vAlign w:val="center"/>
          </w:tcPr>
          <w:p w14:paraId="168C2D68">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根据危险废物产生、贮存、收集转运、处置、信息化管理等情况赋分。</w:t>
            </w:r>
          </w:p>
        </w:tc>
        <w:tc>
          <w:tcPr>
            <w:tcW w:w="569" w:type="pct"/>
            <w:vAlign w:val="center"/>
          </w:tcPr>
          <w:p w14:paraId="073CC860">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0B4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7703E19B">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4F3724B5">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76A30C84">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117F7095">
            <w:pPr>
              <w:widowControl/>
              <w:kinsoku w:val="0"/>
              <w:autoSpaceDE w:val="0"/>
              <w:autoSpaceDN w:val="0"/>
              <w:adjustRightInd w:val="0"/>
              <w:snapToGrid w:val="0"/>
              <w:spacing w:before="153" w:line="180" w:lineRule="auto"/>
              <w:jc w:val="center"/>
              <w:textAlignment w:val="baseline"/>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t>2.4</w:t>
            </w:r>
          </w:p>
        </w:tc>
        <w:tc>
          <w:tcPr>
            <w:tcW w:w="839" w:type="pct"/>
            <w:vAlign w:val="center"/>
          </w:tcPr>
          <w:p w14:paraId="33E010D8">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生物多样性保护</w:t>
            </w:r>
          </w:p>
        </w:tc>
        <w:tc>
          <w:tcPr>
            <w:tcW w:w="648" w:type="pct"/>
            <w:vAlign w:val="center"/>
          </w:tcPr>
          <w:p w14:paraId="38ADEEF5">
            <w:pPr>
              <w:widowControl/>
              <w:kinsoku w:val="0"/>
              <w:autoSpaceDE w:val="0"/>
              <w:autoSpaceDN w:val="0"/>
              <w:adjustRightInd w:val="0"/>
              <w:snapToGrid w:val="0"/>
              <w:spacing w:before="111" w:line="221"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snapToGrid w:val="0"/>
                <w:color w:val="000000" w:themeColor="text1"/>
                <w:sz w:val="24"/>
                <w:szCs w:val="24"/>
                <w:lang w:val="en-US" w:eastAsia="zh-CN"/>
                <w14:textFill>
                  <w14:solidFill>
                    <w14:schemeClr w14:val="tx1"/>
                  </w14:solidFill>
                </w14:textFill>
              </w:rPr>
              <w:t>/</w:t>
            </w:r>
          </w:p>
        </w:tc>
        <w:tc>
          <w:tcPr>
            <w:tcW w:w="382" w:type="pct"/>
            <w:vAlign w:val="center"/>
          </w:tcPr>
          <w:p w14:paraId="515A022B">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4</w:t>
            </w:r>
          </w:p>
        </w:tc>
        <w:tc>
          <w:tcPr>
            <w:tcW w:w="1245" w:type="pct"/>
            <w:vAlign w:val="center"/>
          </w:tcPr>
          <w:p w14:paraId="1F518AD6">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根据生物友好型原料使用情况、开展生物多样性保护措施情况赋分。</w:t>
            </w:r>
          </w:p>
        </w:tc>
        <w:tc>
          <w:tcPr>
            <w:tcW w:w="569" w:type="pct"/>
            <w:vAlign w:val="center"/>
          </w:tcPr>
          <w:p w14:paraId="409C4963">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410C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3DD117C8">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4FDF4994">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Align w:val="center"/>
          </w:tcPr>
          <w:p w14:paraId="5E904E7F">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加分项</w:t>
            </w:r>
          </w:p>
        </w:tc>
        <w:tc>
          <w:tcPr>
            <w:tcW w:w="324" w:type="pct"/>
            <w:vAlign w:val="center"/>
          </w:tcPr>
          <w:p w14:paraId="1C4C6EF8">
            <w:pPr>
              <w:widowControl/>
              <w:kinsoku w:val="0"/>
              <w:autoSpaceDE w:val="0"/>
              <w:autoSpaceDN w:val="0"/>
              <w:adjustRightInd w:val="0"/>
              <w:snapToGrid w:val="0"/>
              <w:spacing w:before="153" w:line="180" w:lineRule="auto"/>
              <w:jc w:val="center"/>
              <w:textAlignment w:val="baseline"/>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t>2.5</w:t>
            </w:r>
          </w:p>
        </w:tc>
        <w:tc>
          <w:tcPr>
            <w:tcW w:w="839" w:type="pct"/>
            <w:vAlign w:val="center"/>
          </w:tcPr>
          <w:p w14:paraId="7E647C44">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新污染物防控</w:t>
            </w:r>
          </w:p>
        </w:tc>
        <w:tc>
          <w:tcPr>
            <w:tcW w:w="648" w:type="pct"/>
            <w:vAlign w:val="center"/>
          </w:tcPr>
          <w:p w14:paraId="6A4D8B9A">
            <w:pPr>
              <w:widowControl/>
              <w:kinsoku w:val="0"/>
              <w:autoSpaceDE w:val="0"/>
              <w:autoSpaceDN w:val="0"/>
              <w:adjustRightInd w:val="0"/>
              <w:snapToGrid w:val="0"/>
              <w:spacing w:before="111" w:line="221"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snapToGrid w:val="0"/>
                <w:color w:val="000000" w:themeColor="text1"/>
                <w:sz w:val="24"/>
                <w:szCs w:val="24"/>
                <w:lang w:val="en-US" w:eastAsia="zh-CN"/>
                <w14:textFill>
                  <w14:solidFill>
                    <w14:schemeClr w14:val="tx1"/>
                  </w14:solidFill>
                </w14:textFill>
              </w:rPr>
              <w:t>/</w:t>
            </w:r>
          </w:p>
        </w:tc>
        <w:tc>
          <w:tcPr>
            <w:tcW w:w="382" w:type="pct"/>
            <w:vAlign w:val="center"/>
          </w:tcPr>
          <w:p w14:paraId="165D2B08">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3</w:t>
            </w:r>
          </w:p>
        </w:tc>
        <w:tc>
          <w:tcPr>
            <w:tcW w:w="1245" w:type="pct"/>
            <w:vAlign w:val="center"/>
          </w:tcPr>
          <w:p w14:paraId="2D92C043">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根据企业实施《上海市新污染物治理行动工作方案》情况赋分</w:t>
            </w:r>
            <w:r>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t>。</w:t>
            </w:r>
          </w:p>
        </w:tc>
        <w:tc>
          <w:tcPr>
            <w:tcW w:w="569" w:type="pct"/>
            <w:vAlign w:val="center"/>
          </w:tcPr>
          <w:p w14:paraId="13E22C75">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2026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restart"/>
            <w:vAlign w:val="center"/>
          </w:tcPr>
          <w:p w14:paraId="43DE09EA">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t>3</w:t>
            </w:r>
          </w:p>
        </w:tc>
        <w:tc>
          <w:tcPr>
            <w:tcW w:w="419" w:type="pct"/>
            <w:vMerge w:val="restart"/>
            <w:vAlign w:val="center"/>
          </w:tcPr>
          <w:p w14:paraId="0DB25595">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t>应对气候变化</w:t>
            </w:r>
          </w:p>
        </w:tc>
        <w:tc>
          <w:tcPr>
            <w:tcW w:w="298" w:type="pct"/>
            <w:vMerge w:val="restart"/>
            <w:vAlign w:val="center"/>
          </w:tcPr>
          <w:p w14:paraId="3BF0493E">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pacing w:val="-1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11"/>
                <w:sz w:val="24"/>
                <w:szCs w:val="24"/>
                <w:lang w:val="en-US" w:eastAsia="zh-CN"/>
                <w14:textFill>
                  <w14:solidFill>
                    <w14:schemeClr w14:val="tx1"/>
                  </w14:solidFill>
                </w14:textFill>
              </w:rPr>
              <w:t>25</w:t>
            </w:r>
          </w:p>
        </w:tc>
        <w:tc>
          <w:tcPr>
            <w:tcW w:w="324" w:type="pct"/>
            <w:vAlign w:val="center"/>
          </w:tcPr>
          <w:p w14:paraId="1F1C54DA">
            <w:pPr>
              <w:widowControl/>
              <w:kinsoku w:val="0"/>
              <w:autoSpaceDE w:val="0"/>
              <w:autoSpaceDN w:val="0"/>
              <w:adjustRightInd w:val="0"/>
              <w:snapToGrid w:val="0"/>
              <w:spacing w:before="153" w:line="180" w:lineRule="auto"/>
              <w:jc w:val="center"/>
              <w:textAlignment w:val="baseline"/>
              <w:rPr>
                <w:rFonts w:hint="default" w:ascii="Times New Roman" w:hAnsi="Times New Roman" w:eastAsia="方正仿宋_GB2312" w:cs="Times New Roman"/>
                <w:color w:val="000000" w:themeColor="text1"/>
                <w:spacing w:val="-5"/>
                <w:w w:val="97"/>
                <w:sz w:val="24"/>
                <w:szCs w:val="24"/>
                <w14:textFill>
                  <w14:solidFill>
                    <w14:schemeClr w14:val="tx1"/>
                  </w14:solidFill>
                </w14:textFill>
              </w:rPr>
            </w:pPr>
            <w:r>
              <w:rPr>
                <w:rFonts w:hint="default" w:ascii="Times New Roman" w:hAnsi="Times New Roman" w:eastAsia="方正仿宋_GB2312" w:cs="Times New Roman"/>
                <w:color w:val="000000" w:themeColor="text1"/>
                <w:spacing w:val="-5"/>
                <w:w w:val="97"/>
                <w:sz w:val="24"/>
                <w:szCs w:val="24"/>
                <w14:textFill>
                  <w14:solidFill>
                    <w14:schemeClr w14:val="tx1"/>
                  </w14:solidFill>
                </w14:textFill>
              </w:rPr>
              <w:t>3.1</w:t>
            </w:r>
          </w:p>
        </w:tc>
        <w:tc>
          <w:tcPr>
            <w:tcW w:w="839" w:type="pct"/>
            <w:vAlign w:val="center"/>
          </w:tcPr>
          <w:p w14:paraId="02ECF33D">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碳排放强度</w:t>
            </w:r>
          </w:p>
        </w:tc>
        <w:tc>
          <w:tcPr>
            <w:tcW w:w="648" w:type="pct"/>
            <w:vAlign w:val="center"/>
          </w:tcPr>
          <w:p w14:paraId="38340ED4">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吨二氧化碳当量/万元</w:t>
            </w:r>
          </w:p>
        </w:tc>
        <w:tc>
          <w:tcPr>
            <w:tcW w:w="382" w:type="pct"/>
            <w:vAlign w:val="center"/>
          </w:tcPr>
          <w:p w14:paraId="190088B3">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10</w:t>
            </w:r>
          </w:p>
        </w:tc>
        <w:tc>
          <w:tcPr>
            <w:tcW w:w="1245" w:type="pct"/>
            <w:vAlign w:val="center"/>
          </w:tcPr>
          <w:p w14:paraId="3E7961A4">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根据企业优于所属行业平均水平程度赋分。</w:t>
            </w:r>
          </w:p>
        </w:tc>
        <w:tc>
          <w:tcPr>
            <w:tcW w:w="569" w:type="pct"/>
            <w:vAlign w:val="center"/>
          </w:tcPr>
          <w:p w14:paraId="0D8AC553">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市/区发改委</w:t>
            </w:r>
          </w:p>
        </w:tc>
      </w:tr>
      <w:tr w14:paraId="1AEF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1DCB6266">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419" w:type="pct"/>
            <w:vMerge w:val="continue"/>
            <w:vAlign w:val="center"/>
          </w:tcPr>
          <w:p w14:paraId="3BF97173">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298" w:type="pct"/>
            <w:vMerge w:val="continue"/>
            <w:vAlign w:val="center"/>
          </w:tcPr>
          <w:p w14:paraId="5275F574">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pacing w:val="-11"/>
                <w:sz w:val="24"/>
                <w:szCs w:val="24"/>
                <w14:textFill>
                  <w14:solidFill>
                    <w14:schemeClr w14:val="tx1"/>
                  </w14:solidFill>
                </w14:textFill>
              </w:rPr>
            </w:pPr>
          </w:p>
        </w:tc>
        <w:tc>
          <w:tcPr>
            <w:tcW w:w="324" w:type="pct"/>
            <w:vAlign w:val="center"/>
          </w:tcPr>
          <w:p w14:paraId="0FBA1D9F">
            <w:pPr>
              <w:widowControl/>
              <w:kinsoku w:val="0"/>
              <w:autoSpaceDE w:val="0"/>
              <w:autoSpaceDN w:val="0"/>
              <w:adjustRightInd w:val="0"/>
              <w:snapToGrid w:val="0"/>
              <w:spacing w:before="153" w:line="180" w:lineRule="auto"/>
              <w:jc w:val="center"/>
              <w:textAlignment w:val="baseline"/>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5"/>
                <w:w w:val="97"/>
                <w:sz w:val="24"/>
                <w:szCs w:val="24"/>
                <w:lang w:val="en-US" w:eastAsia="zh-CN"/>
                <w14:textFill>
                  <w14:solidFill>
                    <w14:schemeClr w14:val="tx1"/>
                  </w14:solidFill>
                </w14:textFill>
              </w:rPr>
              <w:t>3.2</w:t>
            </w:r>
          </w:p>
        </w:tc>
        <w:tc>
          <w:tcPr>
            <w:tcW w:w="839" w:type="pct"/>
            <w:vAlign w:val="center"/>
          </w:tcPr>
          <w:p w14:paraId="0093E120">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温室气体减排计划</w:t>
            </w:r>
          </w:p>
        </w:tc>
        <w:tc>
          <w:tcPr>
            <w:tcW w:w="648" w:type="pct"/>
            <w:vAlign w:val="center"/>
          </w:tcPr>
          <w:p w14:paraId="13971A33">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t>/</w:t>
            </w:r>
          </w:p>
        </w:tc>
        <w:tc>
          <w:tcPr>
            <w:tcW w:w="382" w:type="pct"/>
            <w:vAlign w:val="center"/>
          </w:tcPr>
          <w:p w14:paraId="6321F117">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8</w:t>
            </w:r>
          </w:p>
        </w:tc>
        <w:tc>
          <w:tcPr>
            <w:tcW w:w="1245" w:type="pct"/>
            <w:vAlign w:val="center"/>
          </w:tcPr>
          <w:p w14:paraId="0B750B0C">
            <w:pPr>
              <w:keepNext w:val="0"/>
              <w:keepLines w:val="0"/>
              <w:pageBreakBefore w:val="0"/>
              <w:widowControl/>
              <w:numPr>
                <w:ilvl w:val="0"/>
                <w:numId w:val="0"/>
              </w:numPr>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根据企业自主制定温室气体减排计划的情况、设置减排目标和时间节点情况，以及细化减排措施和行动方案的情况赋分。</w:t>
            </w:r>
          </w:p>
        </w:tc>
        <w:tc>
          <w:tcPr>
            <w:tcW w:w="569" w:type="pct"/>
            <w:vAlign w:val="center"/>
          </w:tcPr>
          <w:p w14:paraId="44F5679E">
            <w:pPr>
              <w:widowControl/>
              <w:numPr>
                <w:ilvl w:val="0"/>
                <w:numId w:val="0"/>
              </w:numPr>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6815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7D0207C6">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419" w:type="pct"/>
            <w:vMerge w:val="continue"/>
            <w:vAlign w:val="center"/>
          </w:tcPr>
          <w:p w14:paraId="7BB6B835">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298" w:type="pct"/>
            <w:vMerge w:val="continue"/>
            <w:vAlign w:val="center"/>
          </w:tcPr>
          <w:p w14:paraId="44E1E03E">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pacing w:val="-11"/>
                <w:sz w:val="24"/>
                <w:szCs w:val="24"/>
                <w14:textFill>
                  <w14:solidFill>
                    <w14:schemeClr w14:val="tx1"/>
                  </w14:solidFill>
                </w14:textFill>
              </w:rPr>
            </w:pPr>
          </w:p>
        </w:tc>
        <w:tc>
          <w:tcPr>
            <w:tcW w:w="324" w:type="pct"/>
            <w:vAlign w:val="center"/>
          </w:tcPr>
          <w:p w14:paraId="311BB016">
            <w:pPr>
              <w:widowControl/>
              <w:kinsoku w:val="0"/>
              <w:autoSpaceDE w:val="0"/>
              <w:autoSpaceDN w:val="0"/>
              <w:adjustRightInd w:val="0"/>
              <w:snapToGrid w:val="0"/>
              <w:spacing w:before="152" w:line="180" w:lineRule="auto"/>
              <w:jc w:val="center"/>
              <w:textAlignment w:val="baseline"/>
              <w:rPr>
                <w:rFonts w:hint="default" w:ascii="Times New Roman" w:hAnsi="Times New Roman" w:eastAsia="方正仿宋_GB2312" w:cs="Times New Roman"/>
                <w:color w:val="000000" w:themeColor="text1"/>
                <w:spacing w:val="-2"/>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2"/>
                <w:sz w:val="24"/>
                <w:szCs w:val="24"/>
                <w:lang w:val="en-US" w:eastAsia="zh-CN"/>
                <w14:textFill>
                  <w14:solidFill>
                    <w14:schemeClr w14:val="tx1"/>
                  </w14:solidFill>
                </w14:textFill>
              </w:rPr>
              <w:t>3.3</w:t>
            </w:r>
          </w:p>
        </w:tc>
        <w:tc>
          <w:tcPr>
            <w:tcW w:w="839" w:type="pct"/>
            <w:vAlign w:val="center"/>
          </w:tcPr>
          <w:p w14:paraId="05F4617B">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碳市场举措</w:t>
            </w:r>
          </w:p>
        </w:tc>
        <w:tc>
          <w:tcPr>
            <w:tcW w:w="648" w:type="pct"/>
            <w:vAlign w:val="center"/>
          </w:tcPr>
          <w:p w14:paraId="2B497543">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t>/</w:t>
            </w:r>
          </w:p>
        </w:tc>
        <w:tc>
          <w:tcPr>
            <w:tcW w:w="382" w:type="pct"/>
            <w:vAlign w:val="center"/>
          </w:tcPr>
          <w:p w14:paraId="09F5D413">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7</w:t>
            </w:r>
          </w:p>
        </w:tc>
        <w:tc>
          <w:tcPr>
            <w:tcW w:w="1245" w:type="pct"/>
            <w:vAlign w:val="center"/>
          </w:tcPr>
          <w:p w14:paraId="745F3D9C">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根据企业参与全国</w:t>
            </w:r>
            <w:r>
              <w:rPr>
                <w:rFonts w:hint="default" w:ascii="Times New Roman" w:hAnsi="Times New Roman" w:eastAsia="方正仿宋_GB2312" w:cs="Times New Roman"/>
                <w:b w:val="0"/>
                <w:bCs w:val="0"/>
                <w:i w:val="0"/>
                <w:iCs w:val="0"/>
                <w:caps w:val="0"/>
                <w:color w:val="auto"/>
                <w:spacing w:val="0"/>
                <w:sz w:val="24"/>
                <w:szCs w:val="24"/>
                <w:highlight w:val="none"/>
                <w:shd w:val="clear" w:fill="auto"/>
                <w:vertAlign w:val="baseline"/>
                <w:lang w:val="en-US" w:eastAsia="zh-CN"/>
              </w:rPr>
              <w:t>碳排放权交易市场</w:t>
            </w:r>
            <w:r>
              <w:rPr>
                <w:rFonts w:hint="default" w:ascii="Times New Roman" w:hAnsi="Times New Roman" w:eastAsia="方正仿宋_GB2312" w:cs="Times New Roman"/>
                <w:b w:val="0"/>
                <w:bCs w:val="0"/>
                <w:i w:val="0"/>
                <w:iCs w:val="0"/>
                <w:caps w:val="0"/>
                <w:color w:val="auto"/>
                <w:spacing w:val="0"/>
                <w:sz w:val="24"/>
                <w:szCs w:val="24"/>
                <w:shd w:val="clear"/>
                <w:vertAlign w:val="baseline"/>
                <w:lang w:val="en-US" w:eastAsia="zh-CN"/>
              </w:rPr>
              <w:t>和</w:t>
            </w:r>
            <w:r>
              <w:rPr>
                <w:rFonts w:hint="default" w:ascii="Times New Roman" w:hAnsi="Times New Roman" w:eastAsia="方正仿宋_GB2312" w:cs="Times New Roman"/>
                <w:b w:val="0"/>
                <w:bCs w:val="0"/>
                <w:i w:val="0"/>
                <w:iCs w:val="0"/>
                <w:caps w:val="0"/>
                <w:color w:val="auto"/>
                <w:spacing w:val="0"/>
                <w:sz w:val="24"/>
                <w:szCs w:val="24"/>
                <w:highlight w:val="none"/>
                <w:shd w:val="clear" w:fill="auto"/>
                <w:vertAlign w:val="baseline"/>
                <w:lang w:val="en-US" w:eastAsia="zh-CN"/>
              </w:rPr>
              <w:t>温室气体自愿减排交易市场</w:t>
            </w:r>
            <w:r>
              <w:rPr>
                <w:rFonts w:hint="default" w:ascii="Times New Roman" w:hAnsi="Times New Roman" w:eastAsia="方正仿宋_GB2312" w:cs="Times New Roman"/>
                <w:color w:val="auto"/>
                <w:sz w:val="24"/>
                <w:szCs w:val="24"/>
                <w:lang w:val="en-US" w:eastAsia="zh-CN"/>
              </w:rPr>
              <w:t>情况赋分。</w:t>
            </w:r>
          </w:p>
        </w:tc>
        <w:tc>
          <w:tcPr>
            <w:tcW w:w="569" w:type="pct"/>
            <w:vAlign w:val="center"/>
          </w:tcPr>
          <w:p w14:paraId="4F317D32">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市生态环境局，企业填报</w:t>
            </w:r>
          </w:p>
        </w:tc>
      </w:tr>
      <w:tr w14:paraId="09A6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178C6CD5">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419" w:type="pct"/>
            <w:vMerge w:val="continue"/>
            <w:vAlign w:val="center"/>
          </w:tcPr>
          <w:p w14:paraId="7ACBF2D4">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298" w:type="pct"/>
            <w:vMerge w:val="restart"/>
            <w:vAlign w:val="center"/>
          </w:tcPr>
          <w:p w14:paraId="4A97089D">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pacing w:val="-11"/>
                <w:sz w:val="24"/>
                <w:szCs w:val="24"/>
                <w14:textFill>
                  <w14:solidFill>
                    <w14:schemeClr w14:val="tx1"/>
                  </w14:solidFill>
                </w14:textFill>
              </w:rPr>
            </w:pPr>
            <w:r>
              <w:rPr>
                <w:rFonts w:hint="default" w:ascii="Times New Roman" w:hAnsi="Times New Roman" w:eastAsia="方正仿宋_GB2312" w:cs="Times New Roman"/>
                <w:color w:val="000000" w:themeColor="text1"/>
                <w:spacing w:val="-2"/>
                <w:sz w:val="24"/>
                <w:szCs w:val="24"/>
                <w:lang w:val="en-US" w:eastAsia="zh-CN"/>
                <w14:textFill>
                  <w14:solidFill>
                    <w14:schemeClr w14:val="tx1"/>
                  </w14:solidFill>
                </w14:textFill>
              </w:rPr>
              <w:t>加分项</w:t>
            </w:r>
          </w:p>
        </w:tc>
        <w:tc>
          <w:tcPr>
            <w:tcW w:w="324" w:type="pct"/>
            <w:vAlign w:val="center"/>
          </w:tcPr>
          <w:p w14:paraId="28918D54">
            <w:pPr>
              <w:widowControl/>
              <w:kinsoku w:val="0"/>
              <w:autoSpaceDE w:val="0"/>
              <w:autoSpaceDN w:val="0"/>
              <w:adjustRightInd w:val="0"/>
              <w:snapToGrid w:val="0"/>
              <w:spacing w:before="152" w:line="180" w:lineRule="auto"/>
              <w:jc w:val="center"/>
              <w:textAlignment w:val="baseline"/>
              <w:rPr>
                <w:rFonts w:hint="default" w:ascii="Times New Roman" w:hAnsi="Times New Roman" w:eastAsia="方正仿宋_GB2312" w:cs="Times New Roman"/>
                <w:color w:val="000000" w:themeColor="text1"/>
                <w:spacing w:val="-2"/>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2"/>
                <w:sz w:val="24"/>
                <w:szCs w:val="24"/>
                <w:lang w:val="en-US" w:eastAsia="zh-CN"/>
                <w14:textFill>
                  <w14:solidFill>
                    <w14:schemeClr w14:val="tx1"/>
                  </w14:solidFill>
                </w14:textFill>
              </w:rPr>
              <w:t>3.4</w:t>
            </w:r>
          </w:p>
        </w:tc>
        <w:tc>
          <w:tcPr>
            <w:tcW w:w="839" w:type="pct"/>
            <w:vAlign w:val="center"/>
          </w:tcPr>
          <w:p w14:paraId="61582D30">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碳排放管理</w:t>
            </w:r>
          </w:p>
        </w:tc>
        <w:tc>
          <w:tcPr>
            <w:tcW w:w="648" w:type="pct"/>
            <w:vAlign w:val="center"/>
          </w:tcPr>
          <w:p w14:paraId="6CC718DE">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w:t>
            </w:r>
          </w:p>
        </w:tc>
        <w:tc>
          <w:tcPr>
            <w:tcW w:w="382" w:type="pct"/>
            <w:vAlign w:val="center"/>
          </w:tcPr>
          <w:p w14:paraId="430B6207">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3</w:t>
            </w:r>
          </w:p>
        </w:tc>
        <w:tc>
          <w:tcPr>
            <w:tcW w:w="1245" w:type="pct"/>
            <w:vAlign w:val="center"/>
          </w:tcPr>
          <w:p w14:paraId="2FB6E787">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根据企业建立碳排放管理体系、低碳供应链管理体系，以及开展产品碳足迹等研究、统计核算、跟踪评估等情况赋分。</w:t>
            </w:r>
          </w:p>
        </w:tc>
        <w:tc>
          <w:tcPr>
            <w:tcW w:w="569" w:type="pct"/>
            <w:vAlign w:val="center"/>
          </w:tcPr>
          <w:p w14:paraId="28964675">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7038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237DCD8B">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419" w:type="pct"/>
            <w:vMerge w:val="continue"/>
            <w:vAlign w:val="center"/>
          </w:tcPr>
          <w:p w14:paraId="1EDFA977">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298" w:type="pct"/>
            <w:vMerge w:val="continue"/>
            <w:vAlign w:val="center"/>
          </w:tcPr>
          <w:p w14:paraId="4B00434E">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pacing w:val="-11"/>
                <w:sz w:val="24"/>
                <w:szCs w:val="24"/>
                <w14:textFill>
                  <w14:solidFill>
                    <w14:schemeClr w14:val="tx1"/>
                  </w14:solidFill>
                </w14:textFill>
              </w:rPr>
            </w:pPr>
          </w:p>
        </w:tc>
        <w:tc>
          <w:tcPr>
            <w:tcW w:w="324" w:type="pct"/>
            <w:vAlign w:val="center"/>
          </w:tcPr>
          <w:p w14:paraId="04F2465B">
            <w:pPr>
              <w:widowControl/>
              <w:kinsoku w:val="0"/>
              <w:autoSpaceDE w:val="0"/>
              <w:autoSpaceDN w:val="0"/>
              <w:adjustRightInd w:val="0"/>
              <w:snapToGrid w:val="0"/>
              <w:spacing w:before="152" w:line="180" w:lineRule="auto"/>
              <w:jc w:val="center"/>
              <w:textAlignment w:val="baseline"/>
              <w:rPr>
                <w:rFonts w:hint="default" w:ascii="Times New Roman" w:hAnsi="Times New Roman" w:eastAsia="方正仿宋_GB2312" w:cs="Times New Roman"/>
                <w:color w:val="000000" w:themeColor="text1"/>
                <w:spacing w:val="-2"/>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2"/>
                <w:sz w:val="24"/>
                <w:szCs w:val="24"/>
                <w:lang w:val="en-US" w:eastAsia="zh-CN"/>
                <w14:textFill>
                  <w14:solidFill>
                    <w14:schemeClr w14:val="tx1"/>
                  </w14:solidFill>
                </w14:textFill>
              </w:rPr>
              <w:t>3.5</w:t>
            </w:r>
          </w:p>
        </w:tc>
        <w:tc>
          <w:tcPr>
            <w:tcW w:w="839" w:type="pct"/>
            <w:vAlign w:val="center"/>
          </w:tcPr>
          <w:p w14:paraId="0DF60FE4">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气候投融资试点</w:t>
            </w:r>
          </w:p>
        </w:tc>
        <w:tc>
          <w:tcPr>
            <w:tcW w:w="648" w:type="pct"/>
            <w:vAlign w:val="center"/>
          </w:tcPr>
          <w:p w14:paraId="004D7FA7">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w:t>
            </w:r>
          </w:p>
        </w:tc>
        <w:tc>
          <w:tcPr>
            <w:tcW w:w="382" w:type="pct"/>
            <w:vAlign w:val="center"/>
          </w:tcPr>
          <w:p w14:paraId="4CF3C968">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t>3</w:t>
            </w:r>
          </w:p>
        </w:tc>
        <w:tc>
          <w:tcPr>
            <w:tcW w:w="1245" w:type="pct"/>
            <w:vAlign w:val="center"/>
          </w:tcPr>
          <w:p w14:paraId="4F861525">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根据企业申报气候投融资试点项目的情况赋分。</w:t>
            </w:r>
          </w:p>
        </w:tc>
        <w:tc>
          <w:tcPr>
            <w:tcW w:w="569" w:type="pct"/>
            <w:vAlign w:val="center"/>
          </w:tcPr>
          <w:p w14:paraId="73B789FE">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1BCF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restart"/>
            <w:vAlign w:val="center"/>
          </w:tcPr>
          <w:p w14:paraId="677EB614">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4</w:t>
            </w:r>
          </w:p>
        </w:tc>
        <w:tc>
          <w:tcPr>
            <w:tcW w:w="419" w:type="pct"/>
            <w:vMerge w:val="restart"/>
            <w:vAlign w:val="center"/>
          </w:tcPr>
          <w:p w14:paraId="2600E9EC">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snapToGrid w:val="0"/>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t>现代环境治理能力</w:t>
            </w:r>
          </w:p>
        </w:tc>
        <w:tc>
          <w:tcPr>
            <w:tcW w:w="298" w:type="pct"/>
            <w:vMerge w:val="restart"/>
            <w:vAlign w:val="center"/>
          </w:tcPr>
          <w:p w14:paraId="3635559F">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25</w:t>
            </w:r>
          </w:p>
        </w:tc>
        <w:tc>
          <w:tcPr>
            <w:tcW w:w="324" w:type="pct"/>
            <w:vAlign w:val="center"/>
          </w:tcPr>
          <w:p w14:paraId="50EBD72C">
            <w:pPr>
              <w:widowControl/>
              <w:kinsoku w:val="0"/>
              <w:autoSpaceDE w:val="0"/>
              <w:autoSpaceDN w:val="0"/>
              <w:adjustRightInd w:val="0"/>
              <w:snapToGrid w:val="0"/>
              <w:spacing w:before="152" w:line="18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r>
              <w:rPr>
                <w:rFonts w:hint="default" w:ascii="Times New Roman" w:hAnsi="Times New Roman" w:eastAsia="方正仿宋_GB2312" w:cs="Times New Roman"/>
                <w:color w:val="000000" w:themeColor="text1"/>
                <w:sz w:val="24"/>
                <w:szCs w:val="24"/>
                <w14:textFill>
                  <w14:solidFill>
                    <w14:schemeClr w14:val="tx1"/>
                  </w14:solidFill>
                </w14:textFill>
              </w:rPr>
              <w:t>4.1</w:t>
            </w:r>
          </w:p>
        </w:tc>
        <w:tc>
          <w:tcPr>
            <w:tcW w:w="839" w:type="pct"/>
            <w:vAlign w:val="center"/>
          </w:tcPr>
          <w:p w14:paraId="73F8BBDA">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14:textFill>
                  <w14:solidFill>
                    <w14:schemeClr w14:val="tx1"/>
                  </w14:solidFill>
                </w14:textFill>
              </w:rPr>
              <w:t>清洁生产审核</w:t>
            </w:r>
          </w:p>
        </w:tc>
        <w:tc>
          <w:tcPr>
            <w:tcW w:w="648" w:type="pct"/>
            <w:vAlign w:val="center"/>
          </w:tcPr>
          <w:p w14:paraId="2D67A151">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w:t>
            </w:r>
          </w:p>
        </w:tc>
        <w:tc>
          <w:tcPr>
            <w:tcW w:w="382" w:type="pct"/>
            <w:vAlign w:val="center"/>
          </w:tcPr>
          <w:p w14:paraId="03800DC5">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3</w:t>
            </w:r>
          </w:p>
        </w:tc>
        <w:tc>
          <w:tcPr>
            <w:tcW w:w="1245" w:type="pct"/>
            <w:vAlign w:val="center"/>
          </w:tcPr>
          <w:p w14:paraId="2FEBA0E2">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根据企业开展清洁生产审核情况赋分。</w:t>
            </w:r>
          </w:p>
        </w:tc>
        <w:tc>
          <w:tcPr>
            <w:tcW w:w="569" w:type="pct"/>
            <w:vAlign w:val="center"/>
          </w:tcPr>
          <w:p w14:paraId="63C8E966">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区科经委</w:t>
            </w:r>
          </w:p>
        </w:tc>
      </w:tr>
      <w:tr w14:paraId="621E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2" w:type="pct"/>
            <w:vMerge w:val="continue"/>
            <w:vAlign w:val="center"/>
          </w:tcPr>
          <w:p w14:paraId="1A7B2160">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2C7E7E77">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298" w:type="pct"/>
            <w:vMerge w:val="continue"/>
            <w:vAlign w:val="center"/>
          </w:tcPr>
          <w:p w14:paraId="1DCCE926">
            <w:pPr>
              <w:widowControl/>
              <w:kinsoku w:val="0"/>
              <w:autoSpaceDE w:val="0"/>
              <w:autoSpaceDN w:val="0"/>
              <w:adjustRightInd w:val="0"/>
              <w:snapToGrid w:val="0"/>
              <w:spacing w:before="60" w:line="180" w:lineRule="auto"/>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01B4C66D">
            <w:pPr>
              <w:widowControl/>
              <w:kinsoku w:val="0"/>
              <w:autoSpaceDE w:val="0"/>
              <w:autoSpaceDN w:val="0"/>
              <w:adjustRightInd w:val="0"/>
              <w:snapToGrid w:val="0"/>
              <w:spacing w:before="152"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4.2</w:t>
            </w:r>
          </w:p>
        </w:tc>
        <w:tc>
          <w:tcPr>
            <w:tcW w:w="839" w:type="pct"/>
            <w:vAlign w:val="center"/>
          </w:tcPr>
          <w:p w14:paraId="692A02F9">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环境污染责任保险</w:t>
            </w:r>
          </w:p>
        </w:tc>
        <w:tc>
          <w:tcPr>
            <w:tcW w:w="648" w:type="pct"/>
            <w:vAlign w:val="center"/>
          </w:tcPr>
          <w:p w14:paraId="20DA0768">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w:t>
            </w:r>
          </w:p>
        </w:tc>
        <w:tc>
          <w:tcPr>
            <w:tcW w:w="382" w:type="pct"/>
            <w:vAlign w:val="center"/>
          </w:tcPr>
          <w:p w14:paraId="793607DC">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3</w:t>
            </w:r>
          </w:p>
        </w:tc>
        <w:tc>
          <w:tcPr>
            <w:tcW w:w="1245" w:type="pct"/>
            <w:vAlign w:val="center"/>
          </w:tcPr>
          <w:p w14:paraId="445CAEA8">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根据企业投保环境污染责任保险的情况赋分。</w:t>
            </w:r>
          </w:p>
        </w:tc>
        <w:tc>
          <w:tcPr>
            <w:tcW w:w="569" w:type="pct"/>
            <w:vAlign w:val="center"/>
          </w:tcPr>
          <w:p w14:paraId="517C9A92">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6550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3DD54E12">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6C3C6704">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13E7367A">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6048500C">
            <w:pPr>
              <w:widowControl/>
              <w:kinsoku w:val="0"/>
              <w:autoSpaceDE w:val="0"/>
              <w:autoSpaceDN w:val="0"/>
              <w:adjustRightInd w:val="0"/>
              <w:snapToGrid w:val="0"/>
              <w:spacing w:before="155"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4.3</w:t>
            </w:r>
          </w:p>
        </w:tc>
        <w:tc>
          <w:tcPr>
            <w:tcW w:w="839" w:type="pct"/>
            <w:vAlign w:val="center"/>
          </w:tcPr>
          <w:p w14:paraId="5AEB6FC8">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绿色认证</w:t>
            </w:r>
          </w:p>
        </w:tc>
        <w:tc>
          <w:tcPr>
            <w:tcW w:w="648" w:type="pct"/>
            <w:vAlign w:val="center"/>
          </w:tcPr>
          <w:p w14:paraId="29673273">
            <w:pPr>
              <w:widowControl/>
              <w:kinsoku w:val="0"/>
              <w:autoSpaceDE w:val="0"/>
              <w:autoSpaceDN w:val="0"/>
              <w:adjustRightInd w:val="0"/>
              <w:snapToGrid w:val="0"/>
              <w:spacing w:before="102" w:line="252" w:lineRule="exact"/>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w:t>
            </w:r>
          </w:p>
        </w:tc>
        <w:tc>
          <w:tcPr>
            <w:tcW w:w="382" w:type="pct"/>
            <w:vAlign w:val="center"/>
          </w:tcPr>
          <w:p w14:paraId="6B9C66C2">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3</w:t>
            </w:r>
          </w:p>
        </w:tc>
        <w:tc>
          <w:tcPr>
            <w:tcW w:w="1245" w:type="pct"/>
            <w:vAlign w:val="center"/>
          </w:tcPr>
          <w:p w14:paraId="57EE145A">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根据企业获得环境管理体系国际国内认证情况赋分。</w:t>
            </w:r>
          </w:p>
        </w:tc>
        <w:tc>
          <w:tcPr>
            <w:tcW w:w="569" w:type="pct"/>
            <w:vAlign w:val="center"/>
          </w:tcPr>
          <w:p w14:paraId="1827BE15">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5F3A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61B742B4">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4F57C6EE">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6C9CEE8A">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37DBEE66">
            <w:pPr>
              <w:widowControl/>
              <w:kinsoku w:val="0"/>
              <w:autoSpaceDE w:val="0"/>
              <w:autoSpaceDN w:val="0"/>
              <w:adjustRightInd w:val="0"/>
              <w:snapToGrid w:val="0"/>
              <w:spacing w:before="154"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14:textFill>
                  <w14:solidFill>
                    <w14:schemeClr w14:val="tx1"/>
                  </w14:solidFill>
                </w14:textFill>
              </w:rPr>
              <w:t>4.</w:t>
            </w: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w:t>
            </w:r>
          </w:p>
        </w:tc>
        <w:tc>
          <w:tcPr>
            <w:tcW w:w="839" w:type="pct"/>
            <w:vAlign w:val="center"/>
          </w:tcPr>
          <w:p w14:paraId="5E4DF139">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14:textFill>
                  <w14:solidFill>
                    <w14:schemeClr w14:val="tx1"/>
                  </w14:solidFill>
                </w14:textFill>
              </w:rPr>
            </w:pPr>
            <w:r>
              <w:rPr>
                <w:rFonts w:hint="default" w:ascii="Times New Roman" w:hAnsi="Times New Roman" w:eastAsia="方正仿宋_GB2312" w:cs="Times New Roman"/>
                <w:color w:val="000000" w:themeColor="text1"/>
                <w:sz w:val="24"/>
                <w:szCs w:val="24"/>
                <w14:textFill>
                  <w14:solidFill>
                    <w14:schemeClr w14:val="tx1"/>
                  </w14:solidFill>
                </w14:textFill>
              </w:rPr>
              <w:t>生态环境信用</w:t>
            </w:r>
          </w:p>
        </w:tc>
        <w:tc>
          <w:tcPr>
            <w:tcW w:w="648" w:type="pct"/>
            <w:vAlign w:val="center"/>
          </w:tcPr>
          <w:p w14:paraId="13CACCD8">
            <w:pPr>
              <w:widowControl/>
              <w:kinsoku w:val="0"/>
              <w:autoSpaceDE w:val="0"/>
              <w:autoSpaceDN w:val="0"/>
              <w:adjustRightInd w:val="0"/>
              <w:snapToGrid w:val="0"/>
              <w:spacing w:before="104" w:line="252" w:lineRule="exact"/>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r>
              <w:rPr>
                <w:rFonts w:hint="default" w:ascii="Times New Roman" w:hAnsi="Times New Roman" w:eastAsia="方正仿宋_GB2312" w:cs="Times New Roman"/>
                <w:color w:val="000000" w:themeColor="text1"/>
                <w:sz w:val="24"/>
                <w:szCs w:val="24"/>
                <w14:textFill>
                  <w14:solidFill>
                    <w14:schemeClr w14:val="tx1"/>
                  </w14:solidFill>
                </w14:textFill>
              </w:rPr>
              <w:t>A/B/C/D</w:t>
            </w:r>
          </w:p>
        </w:tc>
        <w:tc>
          <w:tcPr>
            <w:tcW w:w="382" w:type="pct"/>
            <w:vAlign w:val="center"/>
          </w:tcPr>
          <w:p w14:paraId="6CD1F84C">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w:t>
            </w:r>
          </w:p>
        </w:tc>
        <w:tc>
          <w:tcPr>
            <w:tcW w:w="1245" w:type="pct"/>
            <w:vAlign w:val="center"/>
          </w:tcPr>
          <w:p w14:paraId="245EACF4">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根据企业生态环境信用等级评定情况赋分。</w:t>
            </w:r>
          </w:p>
        </w:tc>
        <w:tc>
          <w:tcPr>
            <w:tcW w:w="569" w:type="pct"/>
            <w:vAlign w:val="center"/>
          </w:tcPr>
          <w:p w14:paraId="27760CBC">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区生态环境局</w:t>
            </w:r>
          </w:p>
        </w:tc>
      </w:tr>
      <w:tr w14:paraId="5004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272" w:type="pct"/>
            <w:vMerge w:val="continue"/>
            <w:vAlign w:val="center"/>
          </w:tcPr>
          <w:p w14:paraId="4DD2BB49">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21BAFA94">
            <w:pPr>
              <w:widowControl/>
              <w:kinsoku w:val="0"/>
              <w:autoSpaceDE w:val="0"/>
              <w:autoSpaceDN w:val="0"/>
              <w:adjustRightInd w:val="0"/>
              <w:snapToGrid w:val="0"/>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298" w:type="pct"/>
            <w:vMerge w:val="continue"/>
            <w:vAlign w:val="center"/>
          </w:tcPr>
          <w:p w14:paraId="7D592F29">
            <w:pPr>
              <w:widowControl/>
              <w:kinsoku w:val="0"/>
              <w:autoSpaceDE w:val="0"/>
              <w:autoSpaceDN w:val="0"/>
              <w:adjustRightInd w:val="0"/>
              <w:snapToGrid w:val="0"/>
              <w:jc w:val="center"/>
              <w:textAlignment w:val="baseline"/>
              <w:rPr>
                <w:rFonts w:hint="default" w:ascii="Times New Roman" w:hAnsi="Times New Roman" w:eastAsia="方正仿宋_GB2312" w:cs="Times New Roman"/>
                <w:color w:val="000000" w:themeColor="text1"/>
                <w:sz w:val="24"/>
                <w:szCs w:val="24"/>
                <w14:textFill>
                  <w14:solidFill>
                    <w14:schemeClr w14:val="tx1"/>
                  </w14:solidFill>
                </w14:textFill>
              </w:rPr>
            </w:pPr>
          </w:p>
        </w:tc>
        <w:tc>
          <w:tcPr>
            <w:tcW w:w="324" w:type="pct"/>
            <w:vAlign w:val="center"/>
          </w:tcPr>
          <w:p w14:paraId="6D455F59">
            <w:pPr>
              <w:widowControl/>
              <w:kinsoku w:val="0"/>
              <w:autoSpaceDE w:val="0"/>
              <w:autoSpaceDN w:val="0"/>
              <w:adjustRightInd w:val="0"/>
              <w:snapToGrid w:val="0"/>
              <w:spacing w:before="154"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4.5</w:t>
            </w:r>
          </w:p>
        </w:tc>
        <w:tc>
          <w:tcPr>
            <w:tcW w:w="839" w:type="pct"/>
            <w:vAlign w:val="center"/>
          </w:tcPr>
          <w:p w14:paraId="103601A0">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环境绩效自愿披露</w:t>
            </w:r>
          </w:p>
        </w:tc>
        <w:tc>
          <w:tcPr>
            <w:tcW w:w="648" w:type="pct"/>
            <w:vAlign w:val="center"/>
          </w:tcPr>
          <w:p w14:paraId="4B9CAB6F">
            <w:pPr>
              <w:widowControl/>
              <w:kinsoku w:val="0"/>
              <w:autoSpaceDE w:val="0"/>
              <w:autoSpaceDN w:val="0"/>
              <w:adjustRightInd w:val="0"/>
              <w:snapToGrid w:val="0"/>
              <w:spacing w:before="106" w:line="252" w:lineRule="exact"/>
              <w:jc w:val="center"/>
              <w:textAlignment w:val="baseline"/>
              <w:rPr>
                <w:rFonts w:hint="default" w:ascii="Times New Roman" w:hAnsi="Times New Roman" w:eastAsia="方正仿宋_GB2312" w:cs="Times New Roman"/>
                <w:snapToGrid w:val="0"/>
                <w:color w:val="000000" w:themeColor="text1"/>
                <w:spacing w:val="3"/>
                <w:sz w:val="24"/>
                <w:szCs w:val="24"/>
                <w:lang w:val="en-US" w:eastAsia="zh-CN" w:bidi="ar-SA"/>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w:t>
            </w:r>
          </w:p>
        </w:tc>
        <w:tc>
          <w:tcPr>
            <w:tcW w:w="382" w:type="pct"/>
            <w:vAlign w:val="center"/>
          </w:tcPr>
          <w:p w14:paraId="29A701BE">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2312" w:cs="Times New Roman"/>
                <w:snapToGrid w:val="0"/>
                <w:color w:val="000000" w:themeColor="text1"/>
                <w:sz w:val="24"/>
                <w:szCs w:val="24"/>
                <w:lang w:val="en-US" w:eastAsia="zh-CN" w:bidi="ar-SA"/>
                <w14:textFill>
                  <w14:solidFill>
                    <w14:schemeClr w14:val="tx1"/>
                  </w14:solidFill>
                </w14:textFill>
              </w:rPr>
              <w:t>12</w:t>
            </w:r>
          </w:p>
        </w:tc>
        <w:tc>
          <w:tcPr>
            <w:tcW w:w="1245" w:type="pct"/>
            <w:vAlign w:val="center"/>
          </w:tcPr>
          <w:p w14:paraId="7DF1E281">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根据企业自行编制可持续发展报告、环境、社会及公司治理报告（ESG）或社会责任报告（CSR）的情况、相关环境信息披露情况、</w:t>
            </w:r>
            <w:r>
              <w:rPr>
                <w:rFonts w:hint="default" w:ascii="Times New Roman" w:hAnsi="Times New Roman" w:eastAsia="方正仿宋_GB18030" w:cs="Times New Roman"/>
                <w:color w:val="000000" w:themeColor="text1"/>
                <w:spacing w:val="-3"/>
                <w:sz w:val="24"/>
                <w:szCs w:val="24"/>
                <w:lang w:val="en-US" w:eastAsia="zh-CN"/>
                <w14:textFill>
                  <w14:solidFill>
                    <w14:schemeClr w14:val="tx1"/>
                  </w14:solidFill>
                </w14:textFill>
              </w:rPr>
              <w:t>企业建立可持续发展治理架构，制订人员培训计划等情况</w:t>
            </w: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赋分。</w:t>
            </w:r>
          </w:p>
        </w:tc>
        <w:tc>
          <w:tcPr>
            <w:tcW w:w="569" w:type="pct"/>
            <w:vAlign w:val="center"/>
          </w:tcPr>
          <w:p w14:paraId="39062142">
            <w:pPr>
              <w:widowControl/>
              <w:kinsoku w:val="0"/>
              <w:autoSpaceDE w:val="0"/>
              <w:autoSpaceDN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5D86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272" w:type="pct"/>
            <w:vMerge w:val="continue"/>
            <w:vAlign w:val="center"/>
          </w:tcPr>
          <w:p w14:paraId="6ECE6DF8">
            <w:pPr>
              <w:widowControl/>
              <w:kinsoku w:val="0"/>
              <w:autoSpaceDE w:val="0"/>
              <w:autoSpaceDN w:val="0"/>
              <w:adjustRightInd w:val="0"/>
              <w:snapToGrid w:val="0"/>
              <w:spacing w:before="156" w:line="180" w:lineRule="auto"/>
              <w:jc w:val="center"/>
              <w:textAlignment w:val="baseline"/>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p>
        </w:tc>
        <w:tc>
          <w:tcPr>
            <w:tcW w:w="419" w:type="pct"/>
            <w:vMerge w:val="continue"/>
            <w:vAlign w:val="center"/>
          </w:tcPr>
          <w:p w14:paraId="4396A929">
            <w:pPr>
              <w:widowControl/>
              <w:kinsoku w:val="0"/>
              <w:autoSpaceDE w:val="0"/>
              <w:autoSpaceDN w:val="0"/>
              <w:adjustRightInd w:val="0"/>
              <w:snapToGrid w:val="0"/>
              <w:spacing w:before="127"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p>
        </w:tc>
        <w:tc>
          <w:tcPr>
            <w:tcW w:w="298" w:type="pct"/>
            <w:vAlign w:val="center"/>
          </w:tcPr>
          <w:p w14:paraId="0E0BF164">
            <w:pPr>
              <w:widowControl/>
              <w:kinsoku w:val="0"/>
              <w:autoSpaceDE w:val="0"/>
              <w:autoSpaceDN w:val="0"/>
              <w:adjustRightInd w:val="0"/>
              <w:snapToGrid w:val="0"/>
              <w:spacing w:before="156" w:line="180" w:lineRule="auto"/>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加分项</w:t>
            </w:r>
          </w:p>
        </w:tc>
        <w:tc>
          <w:tcPr>
            <w:tcW w:w="324" w:type="pct"/>
            <w:vAlign w:val="center"/>
          </w:tcPr>
          <w:p w14:paraId="7CF25EF7">
            <w:pPr>
              <w:widowControl/>
              <w:kinsoku w:val="0"/>
              <w:autoSpaceDE w:val="0"/>
              <w:autoSpaceDN w:val="0"/>
              <w:adjustRightInd w:val="0"/>
              <w:snapToGrid w:val="0"/>
              <w:spacing w:before="154" w:line="180"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w:t>
            </w: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6</w:t>
            </w:r>
          </w:p>
        </w:tc>
        <w:tc>
          <w:tcPr>
            <w:tcW w:w="839" w:type="pct"/>
            <w:vAlign w:val="center"/>
          </w:tcPr>
          <w:p w14:paraId="471C15F0">
            <w:pPr>
              <w:widowControl/>
              <w:kinsoku w:val="0"/>
              <w:autoSpaceDE w:val="0"/>
              <w:autoSpaceDN w:val="0"/>
              <w:adjustRightInd w:val="0"/>
              <w:snapToGrid w:val="0"/>
              <w:spacing w:before="124" w:line="188" w:lineRule="auto"/>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绿色荣誉</w:t>
            </w:r>
          </w:p>
        </w:tc>
        <w:tc>
          <w:tcPr>
            <w:tcW w:w="648" w:type="pct"/>
            <w:vAlign w:val="center"/>
          </w:tcPr>
          <w:p w14:paraId="0DDE23C9">
            <w:pPr>
              <w:widowControl/>
              <w:kinsoku w:val="0"/>
              <w:autoSpaceDE w:val="0"/>
              <w:autoSpaceDN w:val="0"/>
              <w:adjustRightInd w:val="0"/>
              <w:snapToGrid w:val="0"/>
              <w:spacing w:before="106" w:line="252" w:lineRule="exact"/>
              <w:jc w:val="center"/>
              <w:textAlignment w:val="baseline"/>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w:t>
            </w:r>
          </w:p>
        </w:tc>
        <w:tc>
          <w:tcPr>
            <w:tcW w:w="382" w:type="pct"/>
            <w:vAlign w:val="center"/>
          </w:tcPr>
          <w:p w14:paraId="60EC22F0">
            <w:pPr>
              <w:widowControl/>
              <w:kinsoku w:val="0"/>
              <w:autoSpaceDE w:val="0"/>
              <w:autoSpaceDN w:val="0"/>
              <w:adjustRightInd w:val="0"/>
              <w:snapToGrid w:val="0"/>
              <w:spacing w:before="68" w:line="188" w:lineRule="auto"/>
              <w:jc w:val="center"/>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4</w:t>
            </w:r>
          </w:p>
        </w:tc>
        <w:tc>
          <w:tcPr>
            <w:tcW w:w="1245" w:type="pct"/>
            <w:vAlign w:val="center"/>
          </w:tcPr>
          <w:p w14:paraId="23E39D81">
            <w:pPr>
              <w:keepNext w:val="0"/>
              <w:keepLines w:val="0"/>
              <w:pageBreakBefore w:val="0"/>
              <w:widowControl/>
              <w:kinsoku/>
              <w:wordWrap/>
              <w:overflowPunct/>
              <w:topLinePunct w:val="0"/>
              <w:autoSpaceDE w:val="0"/>
              <w:autoSpaceDN w:val="0"/>
              <w:bidi w:val="0"/>
              <w:adjustRightInd w:val="0"/>
              <w:snapToGrid w:val="0"/>
              <w:spacing w:before="68" w:line="188" w:lineRule="auto"/>
              <w:jc w:val="left"/>
              <w:textAlignment w:val="baseline"/>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3"/>
                <w:sz w:val="24"/>
                <w:szCs w:val="24"/>
                <w:lang w:val="en-US" w:eastAsia="zh-CN"/>
                <w14:textFill>
                  <w14:solidFill>
                    <w14:schemeClr w14:val="tx1"/>
                  </w14:solidFill>
                </w14:textFill>
              </w:rPr>
              <w:t>根据企业获得工信部“绿色工厂”、“绿色供应链”、“绿色产品”、“行业规范条件企业名单”等称号；国家或地方“水效领跑者”、“能效领跑者”、“环保领跑者”等称号；入选上海市现代环境治理体系典型案例或者试点名单；入选上海市碳达峰碳中和试点示范创建名单等情况赋分。</w:t>
            </w:r>
          </w:p>
        </w:tc>
        <w:tc>
          <w:tcPr>
            <w:tcW w:w="569" w:type="pct"/>
            <w:vAlign w:val="center"/>
          </w:tcPr>
          <w:p w14:paraId="462B10A2">
            <w:pPr>
              <w:widowControl/>
              <w:kinsoku/>
              <w:autoSpaceDE/>
              <w:autoSpaceDN/>
              <w:adjustRightInd/>
              <w:snapToGrid/>
              <w:spacing w:before="68" w:line="188" w:lineRule="auto"/>
              <w:jc w:val="left"/>
              <w:textAlignment w:val="auto"/>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t>企业填报</w:t>
            </w:r>
          </w:p>
        </w:tc>
      </w:tr>
      <w:tr w14:paraId="6214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691" w:type="pct"/>
            <w:gridSpan w:val="2"/>
            <w:vAlign w:val="center"/>
          </w:tcPr>
          <w:p w14:paraId="7C2EBE77">
            <w:pPr>
              <w:widowControl/>
              <w:kinsoku w:val="0"/>
              <w:autoSpaceDE w:val="0"/>
              <w:autoSpaceDN w:val="0"/>
              <w:adjustRightInd w:val="0"/>
              <w:snapToGrid w:val="0"/>
              <w:spacing w:before="127" w:line="188" w:lineRule="auto"/>
              <w:jc w:val="center"/>
              <w:textAlignment w:val="baseline"/>
              <w:rPr>
                <w:rFonts w:hint="default" w:ascii="Times New Roman" w:hAnsi="Times New Roman" w:eastAsia="方正仿宋_GB2312" w:cs="Times New Roman"/>
                <w:b w:val="0"/>
                <w:bCs w:val="0"/>
                <w:color w:val="000000" w:themeColor="text1"/>
                <w:spacing w:val="-4"/>
                <w:sz w:val="24"/>
                <w:szCs w:val="24"/>
                <w14:textFill>
                  <w14:solidFill>
                    <w14:schemeClr w14:val="tx1"/>
                  </w14:solidFill>
                </w14:textFill>
              </w:rPr>
            </w:pPr>
            <w:r>
              <w:rPr>
                <w:rFonts w:hint="default" w:ascii="Times New Roman" w:hAnsi="Times New Roman" w:eastAsia="方正仿宋_GB2312" w:cs="Times New Roman"/>
                <w:b w:val="0"/>
                <w:bCs w:val="0"/>
                <w:color w:val="000000" w:themeColor="text1"/>
                <w:sz w:val="24"/>
                <w:szCs w:val="24"/>
                <w14:textFill>
                  <w14:solidFill>
                    <w14:schemeClr w14:val="tx1"/>
                  </w14:solidFill>
                </w14:textFill>
              </w:rPr>
              <w:t>合计</w:t>
            </w:r>
          </w:p>
        </w:tc>
        <w:tc>
          <w:tcPr>
            <w:tcW w:w="3738" w:type="pct"/>
            <w:gridSpan w:val="6"/>
            <w:vAlign w:val="center"/>
          </w:tcPr>
          <w:p w14:paraId="6E06191D">
            <w:pPr>
              <w:widowControl/>
              <w:kinsoku w:val="0"/>
              <w:autoSpaceDE w:val="0"/>
              <w:autoSpaceDN w:val="0"/>
              <w:adjustRightInd w:val="0"/>
              <w:snapToGrid w:val="0"/>
              <w:spacing w:before="156" w:line="180" w:lineRule="auto"/>
              <w:jc w:val="center"/>
              <w:textAlignment w:val="baseline"/>
              <w:rPr>
                <w:rFonts w:hint="default" w:ascii="Times New Roman" w:hAnsi="Times New Roman" w:eastAsia="方正仿宋_GB2312" w:cs="Times New Roman"/>
                <w:color w:val="000000" w:themeColor="text1"/>
                <w:spacing w:val="-10"/>
                <w:sz w:val="24"/>
                <w:szCs w:val="24"/>
                <w:lang w:val="en-US" w:eastAsia="zh-CN"/>
                <w14:textFill>
                  <w14:solidFill>
                    <w14:schemeClr w14:val="tx1"/>
                  </w14:solidFill>
                </w14:textFill>
              </w:rPr>
            </w:pPr>
            <w:r>
              <w:rPr>
                <w:rFonts w:hint="default" w:ascii="Times New Roman" w:hAnsi="Times New Roman" w:eastAsia="方正仿宋_GB2312" w:cs="Times New Roman"/>
                <w:color w:val="000000" w:themeColor="text1"/>
                <w:spacing w:val="-10"/>
                <w:sz w:val="24"/>
                <w:szCs w:val="24"/>
                <w14:textFill>
                  <w14:solidFill>
                    <w14:schemeClr w14:val="tx1"/>
                  </w14:solidFill>
                </w14:textFill>
              </w:rPr>
              <w:t>100</w:t>
            </w:r>
            <w:r>
              <w:rPr>
                <w:rFonts w:hint="default" w:ascii="Times New Roman" w:hAnsi="Times New Roman" w:eastAsia="方正仿宋_GB2312" w:cs="Times New Roman"/>
                <w:color w:val="000000" w:themeColor="text1"/>
                <w:spacing w:val="-10"/>
                <w:sz w:val="24"/>
                <w:szCs w:val="24"/>
                <w:lang w:val="en-US" w:eastAsia="zh-CN"/>
                <w14:textFill>
                  <w14:solidFill>
                    <w14:schemeClr w14:val="tx1"/>
                  </w14:solidFill>
                </w14:textFill>
              </w:rPr>
              <w:t>分+20分</w:t>
            </w:r>
          </w:p>
        </w:tc>
        <w:tc>
          <w:tcPr>
            <w:tcW w:w="569" w:type="pct"/>
            <w:vAlign w:val="center"/>
          </w:tcPr>
          <w:p w14:paraId="43427C5E">
            <w:pPr>
              <w:widowControl/>
              <w:kinsoku w:val="0"/>
              <w:autoSpaceDE w:val="0"/>
              <w:autoSpaceDN w:val="0"/>
              <w:adjustRightInd w:val="0"/>
              <w:snapToGrid w:val="0"/>
              <w:spacing w:before="156" w:line="180" w:lineRule="auto"/>
              <w:jc w:val="center"/>
              <w:textAlignment w:val="baseline"/>
              <w:rPr>
                <w:rFonts w:hint="default" w:ascii="Times New Roman" w:hAnsi="Times New Roman" w:eastAsia="方正仿宋_GB2312" w:cs="Times New Roman"/>
                <w:color w:val="000000" w:themeColor="text1"/>
                <w:spacing w:val="-10"/>
                <w:sz w:val="24"/>
                <w:szCs w:val="24"/>
                <w14:textFill>
                  <w14:solidFill>
                    <w14:schemeClr w14:val="tx1"/>
                  </w14:solidFill>
                </w14:textFill>
              </w:rPr>
            </w:pPr>
          </w:p>
        </w:tc>
      </w:tr>
    </w:tbl>
    <w:p w14:paraId="3FBBB5C6"/>
    <w:p w14:paraId="1976C823">
      <w:pPr>
        <w:sectPr>
          <w:pgSz w:w="16838" w:h="11906" w:orient="landscape"/>
          <w:pgMar w:top="1803" w:right="1440" w:bottom="1803" w:left="1440" w:header="851" w:footer="992" w:gutter="0"/>
          <w:cols w:space="0" w:num="1"/>
          <w:rtlGutter w:val="0"/>
          <w:docGrid w:type="lines" w:linePitch="319" w:charSpace="0"/>
        </w:sectPr>
      </w:pPr>
    </w:p>
    <w:p w14:paraId="5F70287F">
      <w:pP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附件2 </w:t>
      </w:r>
    </w:p>
    <w:p w14:paraId="60F47155">
      <w:pPr>
        <w:jc w:val="cente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指标计分计算方法</w:t>
      </w:r>
    </w:p>
    <w:p w14:paraId="1F68210C">
      <w:pPr>
        <w:jc w:val="center"/>
        <w:rPr>
          <w:rFonts w:hint="default"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pPr>
    </w:p>
    <w:p w14:paraId="5ABD33B1">
      <w:pPr>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rPr>
          <w:rFonts w:ascii="Times New Roman" w:hAnsi="Times New Roman" w:eastAsia="仿宋" w:cs="Times New Roman"/>
          <w:b/>
          <w:color w:val="000000" w:themeColor="text1"/>
          <w:sz w:val="28"/>
          <w:szCs w:val="36"/>
          <w14:textFill>
            <w14:solidFill>
              <w14:schemeClr w14:val="tx1"/>
            </w14:solidFill>
          </w14:textFill>
        </w:rPr>
      </w:pPr>
      <w:r>
        <w:rPr>
          <w:rFonts w:hint="eastAsia" w:ascii="Times New Roman" w:hAnsi="Times New Roman" w:eastAsia="仿宋" w:cs="Times New Roman"/>
          <w:b/>
          <w:color w:val="000000" w:themeColor="text1"/>
          <w:sz w:val="28"/>
          <w:szCs w:val="36"/>
          <w14:textFill>
            <w14:solidFill>
              <w14:schemeClr w14:val="tx1"/>
            </w14:solidFill>
          </w14:textFill>
        </w:rPr>
        <w:t>1</w:t>
      </w:r>
      <w:r>
        <w:rPr>
          <w:rFonts w:ascii="Times New Roman" w:hAnsi="Times New Roman" w:eastAsia="仿宋" w:cs="Times New Roman"/>
          <w:b/>
          <w:color w:val="000000" w:themeColor="text1"/>
          <w:sz w:val="28"/>
          <w:szCs w:val="36"/>
          <w14:textFill>
            <w14:solidFill>
              <w14:schemeClr w14:val="tx1"/>
            </w14:solidFill>
          </w14:textFill>
        </w:rPr>
        <w:t>.1土地</w:t>
      </w: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资源</w:t>
      </w:r>
      <w:r>
        <w:rPr>
          <w:rFonts w:ascii="Times New Roman" w:hAnsi="Times New Roman" w:eastAsia="仿宋" w:cs="Times New Roman"/>
          <w:b/>
          <w:color w:val="000000" w:themeColor="text1"/>
          <w:sz w:val="28"/>
          <w:szCs w:val="36"/>
          <w14:textFill>
            <w14:solidFill>
              <w14:schemeClr w14:val="tx1"/>
            </w14:solidFill>
          </w14:textFill>
        </w:rPr>
        <w:t>产出率</w:t>
      </w:r>
    </w:p>
    <w:p w14:paraId="6DB5027B">
      <w:pPr>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仿宋" w:cs="Times New Roman"/>
          <w:i/>
          <w:color w:val="000000" w:themeColor="text1"/>
          <w:sz w:val="22"/>
          <w:szCs w:val="40"/>
          <w14:textFill>
            <w14:solidFill>
              <w14:schemeClr w14:val="tx1"/>
            </w14:solidFill>
          </w14:textFill>
        </w:rPr>
      </w:pPr>
      <m:oMathPara>
        <m:oMath>
          <m:r>
            <m:rPr/>
            <w:rPr>
              <w:rFonts w:hint="eastAsia" w:ascii="Cambria Math" w:hAnsi="Cambria Math" w:eastAsia="仿宋" w:cs="Times New Roman"/>
              <w:color w:val="000000" w:themeColor="text1"/>
              <w:sz w:val="22"/>
              <w:szCs w:val="40"/>
              <w14:textFill>
                <w14:solidFill>
                  <w14:schemeClr w14:val="tx1"/>
                </w14:solidFill>
              </w14:textFill>
            </w:rPr>
            <m:t>企业土地</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资源</m:t>
          </m:r>
          <m:r>
            <m:rPr/>
            <w:rPr>
              <w:rFonts w:hint="eastAsia" w:ascii="Cambria Math" w:hAnsi="Cambria Math" w:eastAsia="仿宋" w:cs="Times New Roman"/>
              <w:color w:val="000000" w:themeColor="text1"/>
              <w:sz w:val="22"/>
              <w:szCs w:val="40"/>
              <w14:textFill>
                <w14:solidFill>
                  <w14:schemeClr w14:val="tx1"/>
                </w14:solidFill>
              </w14:textFill>
            </w:rPr>
            <m:t>产出率（亿元</m:t>
          </m:r>
          <m:r>
            <m:rPr/>
            <w:rPr>
              <w:rFonts w:ascii="Cambria Math" w:hAnsi="Cambria Math" w:eastAsia="仿宋" w:cs="Times New Roman"/>
              <w:color w:val="000000" w:themeColor="text1"/>
              <w:sz w:val="22"/>
              <w:szCs w:val="40"/>
              <w14:textFill>
                <w14:solidFill>
                  <w14:schemeClr w14:val="tx1"/>
                </w14:solidFill>
              </w14:textFill>
            </w:rPr>
            <m:t>/平方公里</m:t>
          </m:r>
          <m:r>
            <m:rPr/>
            <w:rPr>
              <w:rFonts w:hint="eastAsia" w:ascii="Cambria Math" w:hAnsi="Cambria Math" w:eastAsia="仿宋" w:cs="Times New Roman"/>
              <w:color w:val="000000" w:themeColor="text1"/>
              <w:sz w:val="22"/>
              <w:szCs w:val="40"/>
              <w14:textFill>
                <w14:solidFill>
                  <w14:schemeClr w14:val="tx1"/>
                </w14:solidFill>
              </w14:textFill>
            </w:rPr>
            <m:t>）=</m:t>
          </m:r>
          <m:f>
            <m:fPr>
              <m:ctrlPr>
                <w:rPr>
                  <w:rFonts w:ascii="Cambria Math" w:hAnsi="Cambria Math" w:eastAsia="仿宋" w:cs="Times New Roman"/>
                  <w:i/>
                  <w:color w:val="000000" w:themeColor="text1"/>
                  <w:sz w:val="22"/>
                  <w:szCs w:val="40"/>
                  <w14:textFill>
                    <w14:solidFill>
                      <w14:schemeClr w14:val="tx1"/>
                    </w14:solidFill>
                  </w14:textFill>
                </w:rPr>
              </m:ctrlPr>
            </m:fPr>
            <m:num>
              <m:r>
                <m:rPr/>
                <w:rPr>
                  <w:rFonts w:hint="eastAsia" w:ascii="Cambria Math" w:hAnsi="Cambria Math" w:eastAsia="仿宋" w:cs="Times New Roman"/>
                  <w:color w:val="000000" w:themeColor="text1"/>
                  <w:sz w:val="22"/>
                  <w:szCs w:val="40"/>
                  <w:lang w:val="en-US" w:eastAsia="zh-CN"/>
                  <w14:textFill>
                    <w14:solidFill>
                      <w14:schemeClr w14:val="tx1"/>
                    </w14:solidFill>
                  </w14:textFill>
                </w:rPr>
                <m:t>企业总产值</m:t>
              </m:r>
              <m:r>
                <m:rPr/>
                <w:rPr>
                  <w:rFonts w:hint="eastAsia" w:ascii="Cambria Math" w:hAnsi="Cambria Math" w:eastAsia="仿宋" w:cs="Times New Roman"/>
                  <w:color w:val="000000" w:themeColor="text1"/>
                  <w:sz w:val="22"/>
                  <w:szCs w:val="40"/>
                  <w14:textFill>
                    <w14:solidFill>
                      <w14:schemeClr w14:val="tx1"/>
                    </w14:solidFill>
                  </w14:textFill>
                </w:rPr>
                <m:t>（亿元）</m:t>
              </m:r>
              <m:ctrlPr>
                <w:rPr>
                  <w:rFonts w:ascii="Cambria Math" w:hAnsi="Cambria Math" w:eastAsia="仿宋" w:cs="Times New Roman"/>
                  <w:i/>
                  <w:color w:val="000000" w:themeColor="text1"/>
                  <w:sz w:val="22"/>
                  <w:szCs w:val="40"/>
                  <w14:textFill>
                    <w14:solidFill>
                      <w14:schemeClr w14:val="tx1"/>
                    </w14:solidFill>
                  </w14:textFill>
                </w:rPr>
              </m:ctrlPr>
            </m:num>
            <m:den>
              <m:r>
                <m:rPr/>
                <w:rPr>
                  <w:rFonts w:ascii="Cambria Math" w:hAnsi="Cambria Math" w:eastAsia="仿宋" w:cs="Times New Roman"/>
                  <w:color w:val="000000" w:themeColor="text1"/>
                  <w:sz w:val="22"/>
                  <w:szCs w:val="40"/>
                  <w14:textFill>
                    <w14:solidFill>
                      <w14:schemeClr w14:val="tx1"/>
                    </w14:solidFill>
                  </w14:textFill>
                </w:rPr>
                <m:t>用地面积</m:t>
              </m:r>
              <m:r>
                <m:rPr/>
                <w:rPr>
                  <w:rFonts w:hint="eastAsia" w:ascii="Cambria Math" w:hAnsi="Cambria Math" w:eastAsia="仿宋" w:cs="Times New Roman"/>
                  <w:color w:val="000000" w:themeColor="text1"/>
                  <w:sz w:val="22"/>
                  <w:szCs w:val="40"/>
                  <w14:textFill>
                    <w14:solidFill>
                      <w14:schemeClr w14:val="tx1"/>
                    </w14:solidFill>
                  </w14:textFill>
                </w:rPr>
                <m:t>（平方公里）</m:t>
              </m:r>
              <m:ctrlPr>
                <w:rPr>
                  <w:rFonts w:ascii="Cambria Math" w:hAnsi="Cambria Math" w:eastAsia="仿宋" w:cs="Times New Roman"/>
                  <w:i/>
                  <w:color w:val="000000" w:themeColor="text1"/>
                  <w:sz w:val="22"/>
                  <w:szCs w:val="40"/>
                  <w14:textFill>
                    <w14:solidFill>
                      <w14:schemeClr w14:val="tx1"/>
                    </w14:solidFill>
                  </w14:textFill>
                </w:rPr>
              </m:ctrlPr>
            </m:den>
          </m:f>
        </m:oMath>
      </m:oMathPara>
    </w:p>
    <w:p w14:paraId="2E966D1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14:textFill>
            <w14:solidFill>
              <w14:schemeClr w14:val="tx1"/>
            </w14:solidFill>
          </w14:textFill>
        </w:rPr>
        <w:t>土地产出率对应行业</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平均</w:t>
      </w:r>
      <w:r>
        <w:rPr>
          <w:rFonts w:hint="eastAsia" w:ascii="Times New Roman" w:hAnsi="Times New Roman" w:eastAsia="仿宋" w:cs="Times New Roman"/>
          <w:color w:val="000000" w:themeColor="text1"/>
          <w:sz w:val="28"/>
          <w:szCs w:val="36"/>
          <w14:textFill>
            <w14:solidFill>
              <w14:schemeClr w14:val="tx1"/>
            </w14:solidFill>
          </w14:textFill>
        </w:rPr>
        <w:t>值</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可</w:t>
      </w:r>
      <w:r>
        <w:rPr>
          <w:rFonts w:hint="eastAsia" w:ascii="Times New Roman" w:hAnsi="Times New Roman" w:eastAsia="仿宋" w:cs="Times New Roman"/>
          <w:color w:val="000000" w:themeColor="text1"/>
          <w:sz w:val="28"/>
          <w:szCs w:val="36"/>
          <w14:textFill>
            <w14:solidFill>
              <w14:schemeClr w14:val="tx1"/>
            </w14:solidFill>
          </w14:textFill>
        </w:rPr>
        <w:t>参照《上海产业用地指南</w:t>
      </w:r>
      <w:r>
        <w:rPr>
          <w:rFonts w:ascii="Times New Roman" w:hAnsi="Times New Roman" w:eastAsia="仿宋" w:cs="Times New Roman"/>
          <w:color w:val="000000" w:themeColor="text1"/>
          <w:sz w:val="28"/>
          <w:szCs w:val="36"/>
          <w14:textFill>
            <w14:solidFill>
              <w14:schemeClr w14:val="tx1"/>
            </w14:solidFill>
          </w14:textFill>
        </w:rPr>
        <w:t>》</w:t>
      </w:r>
      <w:r>
        <w:rPr>
          <w:rFonts w:hint="eastAsia" w:ascii="Times New Roman" w:hAnsi="Times New Roman" w:eastAsia="仿宋" w:cs="Times New Roman"/>
          <w:color w:val="000000" w:themeColor="text1"/>
          <w:sz w:val="28"/>
          <w:szCs w:val="36"/>
          <w:lang w:eastAsia="zh-CN"/>
          <w14:textFill>
            <w14:solidFill>
              <w14:schemeClr w14:val="tx1"/>
            </w14:solidFill>
          </w14:textFill>
        </w:rPr>
        <w:t>。</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达到所属行业平均水平，得1分；超过所属行业平均水平10%，得2分；超过所属行业平均水平20%，得3分；超过所属行业平均水平30%，得4分；超过所属行业平均水平40%，得5分；超过所属行业平均水平50%，得6分。</w:t>
      </w:r>
    </w:p>
    <w:p w14:paraId="3E674E9E">
      <w:pPr>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rPr>
          <w:rFonts w:ascii="Times New Roman" w:hAnsi="Times New Roman" w:eastAsia="仿宋" w:cs="Times New Roman"/>
          <w:b/>
          <w:color w:val="000000" w:themeColor="text1"/>
          <w:sz w:val="28"/>
          <w:szCs w:val="36"/>
          <w14:textFill>
            <w14:solidFill>
              <w14:schemeClr w14:val="tx1"/>
            </w14:solidFill>
          </w14:textFill>
        </w:rPr>
      </w:pPr>
      <w:r>
        <w:rPr>
          <w:rFonts w:hint="eastAsia" w:ascii="Times New Roman" w:hAnsi="Times New Roman" w:eastAsia="仿宋" w:cs="Times New Roman"/>
          <w:b/>
          <w:color w:val="000000" w:themeColor="text1"/>
          <w:sz w:val="28"/>
          <w:szCs w:val="36"/>
          <w14:textFill>
            <w14:solidFill>
              <w14:schemeClr w14:val="tx1"/>
            </w14:solidFill>
          </w14:textFill>
        </w:rPr>
        <w:t>1</w:t>
      </w:r>
      <w:r>
        <w:rPr>
          <w:rFonts w:ascii="Times New Roman" w:hAnsi="Times New Roman" w:eastAsia="仿宋" w:cs="Times New Roman"/>
          <w:b/>
          <w:color w:val="000000" w:themeColor="text1"/>
          <w:sz w:val="28"/>
          <w:szCs w:val="36"/>
          <w14:textFill>
            <w14:solidFill>
              <w14:schemeClr w14:val="tx1"/>
            </w14:solidFill>
          </w14:textFill>
        </w:rPr>
        <w:t>.</w:t>
      </w: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2能源利用效率</w:t>
      </w:r>
    </w:p>
    <w:p w14:paraId="140D37CE">
      <w:pPr>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仿宋" w:cs="Times New Roman"/>
          <w:i/>
          <w:color w:val="000000" w:themeColor="text1"/>
          <w:sz w:val="22"/>
          <w:szCs w:val="40"/>
          <w14:textFill>
            <w14:solidFill>
              <w14:schemeClr w14:val="tx1"/>
            </w14:solidFill>
          </w14:textFill>
        </w:rPr>
      </w:pPr>
      <m:oMathPara>
        <m:oMath>
          <m:r>
            <m:rPr/>
            <w:rPr>
              <w:rFonts w:hint="eastAsia" w:ascii="Cambria Math" w:hAnsi="Cambria Math" w:eastAsia="仿宋" w:cs="Times New Roman"/>
              <w:color w:val="000000" w:themeColor="text1"/>
              <w:sz w:val="22"/>
              <w:szCs w:val="40"/>
              <w:lang w:val="en-US" w:eastAsia="zh-CN"/>
              <w14:textFill>
                <w14:solidFill>
                  <w14:schemeClr w14:val="tx1"/>
                </w14:solidFill>
              </w14:textFill>
            </w:rPr>
            <m:t>能源利用效率</m:t>
          </m:r>
          <m:r>
            <m:rPr/>
            <w:rPr>
              <w:rFonts w:hint="eastAsia" w:ascii="Cambria Math" w:hAnsi="Cambria Math" w:eastAsia="仿宋" w:cs="Times New Roman"/>
              <w:color w:val="000000" w:themeColor="text1"/>
              <w:sz w:val="22"/>
              <w:szCs w:val="40"/>
              <w14:textFill>
                <w14:solidFill>
                  <w14:schemeClr w14:val="tx1"/>
                </w14:solidFill>
              </w14:textFill>
            </w:rPr>
            <m:t>（吨标煤</m:t>
          </m:r>
          <m:r>
            <m:rPr/>
            <w:rPr>
              <w:rFonts w:ascii="Cambria Math" w:hAnsi="Cambria Math" w:eastAsia="仿宋" w:cs="Times New Roman"/>
              <w:color w:val="000000" w:themeColor="text1"/>
              <w:sz w:val="22"/>
              <w:szCs w:val="40"/>
              <w14:textFill>
                <w14:solidFill>
                  <w14:schemeClr w14:val="tx1"/>
                </w14:solidFill>
              </w14:textFill>
            </w:rPr>
            <m:t>/万元</m:t>
          </m:r>
          <m:r>
            <m:rPr/>
            <w:rPr>
              <w:rFonts w:hint="eastAsia" w:ascii="Cambria Math" w:hAnsi="Cambria Math" w:eastAsia="仿宋" w:cs="Times New Roman"/>
              <w:color w:val="000000" w:themeColor="text1"/>
              <w:sz w:val="22"/>
              <w:szCs w:val="40"/>
              <w14:textFill>
                <w14:solidFill>
                  <w14:schemeClr w14:val="tx1"/>
                </w14:solidFill>
              </w14:textFill>
            </w:rPr>
            <m:t>）=</m:t>
          </m:r>
          <m:f>
            <m:fPr>
              <m:ctrlPr>
                <w:rPr>
                  <w:rFonts w:ascii="Cambria Math" w:hAnsi="Cambria Math" w:eastAsia="仿宋" w:cs="Times New Roman"/>
                  <w:i/>
                  <w:color w:val="000000" w:themeColor="text1"/>
                  <w:sz w:val="22"/>
                  <w:szCs w:val="40"/>
                  <w14:textFill>
                    <w14:solidFill>
                      <w14:schemeClr w14:val="tx1"/>
                    </w14:solidFill>
                  </w14:textFill>
                </w:rPr>
              </m:ctrlPr>
            </m:fPr>
            <m:num>
              <m:r>
                <m:rPr/>
                <w:rPr>
                  <w:rFonts w:ascii="Cambria Math" w:hAnsi="Cambria Math" w:eastAsia="仿宋" w:cs="Times New Roman"/>
                  <w:color w:val="000000" w:themeColor="text1"/>
                  <w:sz w:val="22"/>
                  <w:szCs w:val="40"/>
                  <w14:textFill>
                    <w14:solidFill>
                      <w14:schemeClr w14:val="tx1"/>
                    </w14:solidFill>
                  </w14:textFill>
                </w:rPr>
                <m:t>综合能源消耗量</m:t>
              </m:r>
              <m:r>
                <m:rPr/>
                <w:rPr>
                  <w:rFonts w:hint="eastAsia" w:ascii="Cambria Math" w:hAnsi="Cambria Math" w:eastAsia="仿宋" w:cs="Times New Roman"/>
                  <w:color w:val="000000" w:themeColor="text1"/>
                  <w:sz w:val="22"/>
                  <w:szCs w:val="40"/>
                  <w14:textFill>
                    <w14:solidFill>
                      <w14:schemeClr w14:val="tx1"/>
                    </w14:solidFill>
                  </w14:textFill>
                </w:rPr>
                <m:t>（吨标准煤）</m:t>
              </m:r>
              <m:ctrlPr>
                <w:rPr>
                  <w:rFonts w:ascii="Cambria Math" w:hAnsi="Cambria Math" w:eastAsia="仿宋" w:cs="Times New Roman"/>
                  <w:i/>
                  <w:color w:val="000000" w:themeColor="text1"/>
                  <w:sz w:val="22"/>
                  <w:szCs w:val="40"/>
                  <w14:textFill>
                    <w14:solidFill>
                      <w14:schemeClr w14:val="tx1"/>
                    </w14:solidFill>
                  </w14:textFill>
                </w:rPr>
              </m:ctrlPr>
            </m:num>
            <m:den>
              <m:r>
                <m:rPr/>
                <w:rPr>
                  <w:rFonts w:hint="eastAsia" w:ascii="Cambria Math" w:hAnsi="Cambria Math" w:eastAsia="仿宋" w:cs="Times New Roman"/>
                  <w:color w:val="000000" w:themeColor="text1"/>
                  <w:sz w:val="22"/>
                  <w:szCs w:val="40"/>
                  <w:lang w:val="en-US" w:eastAsia="zh-CN"/>
                  <w14:textFill>
                    <w14:solidFill>
                      <w14:schemeClr w14:val="tx1"/>
                    </w14:solidFill>
                  </w14:textFill>
                </w:rPr>
                <m:t>企业</m:t>
              </m:r>
              <m:r>
                <m:rPr/>
                <w:rPr>
                  <w:rFonts w:ascii="Cambria Math" w:hAnsi="Cambria Math" w:eastAsia="仿宋" w:cs="Times New Roman"/>
                  <w:color w:val="000000" w:themeColor="text1"/>
                  <w:sz w:val="22"/>
                  <w:szCs w:val="40"/>
                  <w14:textFill>
                    <w14:solidFill>
                      <w14:schemeClr w14:val="tx1"/>
                    </w14:solidFill>
                  </w14:textFill>
                </w:rPr>
                <m:t>总产值</m:t>
              </m:r>
              <m:r>
                <m:rPr/>
                <w:rPr>
                  <w:rFonts w:hint="eastAsia" w:ascii="Cambria Math" w:hAnsi="Cambria Math" w:eastAsia="仿宋" w:cs="Times New Roman"/>
                  <w:color w:val="000000" w:themeColor="text1"/>
                  <w:sz w:val="22"/>
                  <w:szCs w:val="40"/>
                  <w14:textFill>
                    <w14:solidFill>
                      <w14:schemeClr w14:val="tx1"/>
                    </w14:solidFill>
                  </w14:textFill>
                </w:rPr>
                <m:t>（万元）</m:t>
              </m:r>
              <m:ctrlPr>
                <w:rPr>
                  <w:rFonts w:ascii="Cambria Math" w:hAnsi="Cambria Math" w:eastAsia="仿宋" w:cs="Times New Roman"/>
                  <w:i/>
                  <w:color w:val="000000" w:themeColor="text1"/>
                  <w:sz w:val="22"/>
                  <w:szCs w:val="40"/>
                  <w14:textFill>
                    <w14:solidFill>
                      <w14:schemeClr w14:val="tx1"/>
                    </w14:solidFill>
                  </w14:textFill>
                </w:rPr>
              </m:ctrlPr>
            </m:den>
          </m:f>
        </m:oMath>
      </m:oMathPara>
    </w:p>
    <w:p w14:paraId="02D0A73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能源利用效率对应的行业平均值可参考</w:t>
      </w:r>
      <w:r>
        <w:rPr>
          <w:rFonts w:hint="eastAsia" w:ascii="Times New Roman" w:hAnsi="Times New Roman" w:eastAsia="仿宋" w:cs="Times New Roman"/>
          <w:color w:val="000000" w:themeColor="text1"/>
          <w:sz w:val="28"/>
          <w:szCs w:val="36"/>
          <w14:textFill>
            <w14:solidFill>
              <w14:schemeClr w14:val="tx1"/>
            </w14:solidFill>
          </w14:textFill>
        </w:rPr>
        <w:t>《上海产业能效指南》</w:t>
      </w:r>
      <w:r>
        <w:rPr>
          <w:rFonts w:hint="eastAsia" w:ascii="Times New Roman" w:hAnsi="Times New Roman" w:eastAsia="仿宋" w:cs="Times New Roman"/>
          <w:color w:val="000000" w:themeColor="text1"/>
          <w:sz w:val="28"/>
          <w:szCs w:val="36"/>
          <w:lang w:eastAsia="zh-CN"/>
          <w14:textFill>
            <w14:solidFill>
              <w14:schemeClr w14:val="tx1"/>
            </w14:solidFill>
          </w14:textFill>
        </w:rPr>
        <w:t>。</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达到所属行业平均水平，得1分；优于所属行业平均水平10%，得2分；优于所属行业平均水平20%，得3分；优于所属行业平均水平30%，得4分；优于所属行业平均水平40%，得5分；优于所属行业平均水平50%，得6分。</w:t>
      </w:r>
    </w:p>
    <w:p w14:paraId="156CEFF1">
      <w:pPr>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rPr>
          <w:rFonts w:ascii="Times New Roman" w:hAnsi="Times New Roman" w:eastAsia="仿宋" w:cs="Times New Roman"/>
          <w:b/>
          <w:color w:val="000000" w:themeColor="text1"/>
          <w:sz w:val="28"/>
          <w:szCs w:val="36"/>
          <w14:textFill>
            <w14:solidFill>
              <w14:schemeClr w14:val="tx1"/>
            </w14:solidFill>
          </w14:textFill>
        </w:rPr>
      </w:pPr>
      <w:r>
        <w:rPr>
          <w:rFonts w:hint="eastAsia" w:ascii="Times New Roman" w:hAnsi="Times New Roman" w:eastAsia="仿宋" w:cs="Times New Roman"/>
          <w:b/>
          <w:color w:val="000000" w:themeColor="text1"/>
          <w:sz w:val="28"/>
          <w:szCs w:val="36"/>
          <w14:textFill>
            <w14:solidFill>
              <w14:schemeClr w14:val="tx1"/>
            </w14:solidFill>
          </w14:textFill>
        </w:rPr>
        <w:t>1</w:t>
      </w:r>
      <w:r>
        <w:rPr>
          <w:rFonts w:ascii="Times New Roman" w:hAnsi="Times New Roman" w:eastAsia="仿宋" w:cs="Times New Roman"/>
          <w:b/>
          <w:color w:val="000000" w:themeColor="text1"/>
          <w:sz w:val="28"/>
          <w:szCs w:val="36"/>
          <w14:textFill>
            <w14:solidFill>
              <w14:schemeClr w14:val="tx1"/>
            </w14:solidFill>
          </w14:textFill>
        </w:rPr>
        <w:t>.</w:t>
      </w: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3水资源利用效率</w:t>
      </w:r>
    </w:p>
    <w:p w14:paraId="1E692D8E">
      <w:pPr>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仿宋" w:cs="Times New Roman"/>
          <w:i/>
          <w:color w:val="000000" w:themeColor="text1"/>
          <w:sz w:val="22"/>
          <w:szCs w:val="40"/>
          <w14:textFill>
            <w14:solidFill>
              <w14:schemeClr w14:val="tx1"/>
            </w14:solidFill>
          </w14:textFill>
        </w:rPr>
      </w:pPr>
      <m:oMathPara>
        <m:oMath>
          <m:r>
            <m:rPr/>
            <w:rPr>
              <w:rFonts w:hint="eastAsia" w:ascii="Cambria Math" w:hAnsi="Cambria Math" w:eastAsia="仿宋" w:cs="Times New Roman"/>
              <w:color w:val="000000" w:themeColor="text1"/>
              <w:sz w:val="22"/>
              <w:szCs w:val="40"/>
              <w:lang w:val="en-US" w:eastAsia="zh-CN"/>
              <w14:textFill>
                <w14:solidFill>
                  <w14:schemeClr w14:val="tx1"/>
                </w14:solidFill>
              </w14:textFill>
            </w:rPr>
            <m:t>水资源利用效率</m:t>
          </m:r>
          <m:r>
            <m:rPr/>
            <w:rPr>
              <w:rFonts w:hint="eastAsia" w:ascii="Cambria Math" w:hAnsi="Cambria Math" w:eastAsia="仿宋" w:cs="Times New Roman"/>
              <w:color w:val="000000" w:themeColor="text1"/>
              <w:sz w:val="22"/>
              <w:szCs w:val="40"/>
              <w14:textFill>
                <w14:solidFill>
                  <w14:schemeClr w14:val="tx1"/>
                </w14:solidFill>
              </w14:textFill>
            </w:rPr>
            <m:t>（立方米</m:t>
          </m:r>
          <m:r>
            <m:rPr/>
            <w:rPr>
              <w:rFonts w:ascii="Cambria Math" w:hAnsi="Cambria Math" w:eastAsia="仿宋" w:cs="Times New Roman"/>
              <w:color w:val="000000" w:themeColor="text1"/>
              <w:sz w:val="22"/>
              <w:szCs w:val="40"/>
              <w14:textFill>
                <w14:solidFill>
                  <w14:schemeClr w14:val="tx1"/>
                </w14:solidFill>
              </w14:textFill>
            </w:rPr>
            <m:t>/万元</m:t>
          </m:r>
          <m:r>
            <m:rPr/>
            <w:rPr>
              <w:rFonts w:hint="eastAsia" w:ascii="Cambria Math" w:hAnsi="Cambria Math" w:eastAsia="仿宋" w:cs="Times New Roman"/>
              <w:color w:val="000000" w:themeColor="text1"/>
              <w:sz w:val="22"/>
              <w:szCs w:val="40"/>
              <w14:textFill>
                <w14:solidFill>
                  <w14:schemeClr w14:val="tx1"/>
                </w14:solidFill>
              </w14:textFill>
            </w:rPr>
            <m:t>）=</m:t>
          </m:r>
          <m:f>
            <m:fPr>
              <m:ctrlPr>
                <w:rPr>
                  <w:rFonts w:ascii="Cambria Math" w:hAnsi="Cambria Math" w:eastAsia="仿宋" w:cs="Times New Roman"/>
                  <w:i/>
                  <w:color w:val="000000" w:themeColor="text1"/>
                  <w:sz w:val="22"/>
                  <w:szCs w:val="40"/>
                  <w14:textFill>
                    <w14:solidFill>
                      <w14:schemeClr w14:val="tx1"/>
                    </w14:solidFill>
                  </w14:textFill>
                </w:rPr>
              </m:ctrlPr>
            </m:fPr>
            <m:num>
              <m:r>
                <m:rPr/>
                <w:rPr>
                  <w:rFonts w:ascii="Cambria Math" w:hAnsi="Cambria Math" w:eastAsia="仿宋" w:cs="Times New Roman"/>
                  <w:color w:val="000000" w:themeColor="text1"/>
                  <w:sz w:val="22"/>
                  <w:szCs w:val="40"/>
                  <w14:textFill>
                    <w14:solidFill>
                      <w14:schemeClr w14:val="tx1"/>
                    </w14:solidFill>
                  </w14:textFill>
                </w:rPr>
                <m:t>新水</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用</m:t>
              </m:r>
              <m:r>
                <m:rPr/>
                <w:rPr>
                  <w:rFonts w:ascii="Cambria Math" w:hAnsi="Cambria Math" w:eastAsia="仿宋" w:cs="Times New Roman"/>
                  <w:color w:val="000000" w:themeColor="text1"/>
                  <w:sz w:val="22"/>
                  <w:szCs w:val="40"/>
                  <w14:textFill>
                    <w14:solidFill>
                      <w14:schemeClr w14:val="tx1"/>
                    </w14:solidFill>
                  </w14:textFill>
                </w:rPr>
                <m:t>量</m:t>
              </m:r>
              <m:r>
                <m:rPr/>
                <w:rPr>
                  <w:rFonts w:hint="eastAsia" w:ascii="Cambria Math" w:hAnsi="Cambria Math" w:eastAsia="仿宋" w:cs="Times New Roman"/>
                  <w:color w:val="000000" w:themeColor="text1"/>
                  <w:sz w:val="22"/>
                  <w:szCs w:val="40"/>
                  <w14:textFill>
                    <w14:solidFill>
                      <w14:schemeClr w14:val="tx1"/>
                    </w14:solidFill>
                  </w14:textFill>
                </w:rPr>
                <m:t>（立方米）</m:t>
              </m:r>
              <m:ctrlPr>
                <w:rPr>
                  <w:rFonts w:ascii="Cambria Math" w:hAnsi="Cambria Math" w:eastAsia="仿宋" w:cs="Times New Roman"/>
                  <w:i/>
                  <w:color w:val="000000" w:themeColor="text1"/>
                  <w:sz w:val="22"/>
                  <w:szCs w:val="40"/>
                  <w14:textFill>
                    <w14:solidFill>
                      <w14:schemeClr w14:val="tx1"/>
                    </w14:solidFill>
                  </w14:textFill>
                </w:rPr>
              </m:ctrlPr>
            </m:num>
            <m:den>
              <m:r>
                <m:rPr/>
                <w:rPr>
                  <w:rFonts w:hint="eastAsia" w:ascii="Cambria Math" w:hAnsi="Cambria Math" w:eastAsia="仿宋" w:cs="Times New Roman"/>
                  <w:color w:val="000000" w:themeColor="text1"/>
                  <w:sz w:val="22"/>
                  <w:szCs w:val="40"/>
                  <w:lang w:val="en-US" w:eastAsia="zh-CN"/>
                  <w14:textFill>
                    <w14:solidFill>
                      <w14:schemeClr w14:val="tx1"/>
                    </w14:solidFill>
                  </w14:textFill>
                </w:rPr>
                <m:t>企业</m:t>
              </m:r>
              <m:r>
                <m:rPr/>
                <w:rPr>
                  <w:rFonts w:hint="eastAsia" w:ascii="Cambria Math" w:hAnsi="Cambria Math" w:eastAsia="仿宋" w:cs="Times New Roman"/>
                  <w:color w:val="000000" w:themeColor="text1"/>
                  <w:sz w:val="22"/>
                  <w:szCs w:val="40"/>
                  <w14:textFill>
                    <w14:solidFill>
                      <w14:schemeClr w14:val="tx1"/>
                    </w14:solidFill>
                  </w14:textFill>
                </w:rPr>
                <m:t>总产值（万元）</m:t>
              </m:r>
              <m:ctrlPr>
                <w:rPr>
                  <w:rFonts w:ascii="Cambria Math" w:hAnsi="Cambria Math" w:eastAsia="仿宋" w:cs="Times New Roman"/>
                  <w:i/>
                  <w:color w:val="000000" w:themeColor="text1"/>
                  <w:sz w:val="22"/>
                  <w:szCs w:val="40"/>
                  <w14:textFill>
                    <w14:solidFill>
                      <w14:schemeClr w14:val="tx1"/>
                    </w14:solidFill>
                  </w14:textFill>
                </w:rPr>
              </m:ctrlPr>
            </m:den>
          </m:f>
        </m:oMath>
      </m:oMathPara>
    </w:p>
    <w:p w14:paraId="5C9B27C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水资源利用效率对应行业平均值可参照《上海产业能效指南》。达到所属行业平均水平，得1分；优于所属行业平均水平10%，得2分；优于所属行业平均水平20%，得3分；优于所属行业平均水平30%，得4分；优于所属行业平均水平40%，得5分；优于所属行业平均水平50%，得6分。</w:t>
      </w:r>
    </w:p>
    <w:p w14:paraId="7A7597FB">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default"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1.4 废弃物综合利用率</w:t>
      </w:r>
    </w:p>
    <w:p w14:paraId="4EFAA476">
      <w:pPr>
        <w:keepNext/>
        <w:keepLines w:val="0"/>
        <w:pageBreakBefore w:val="0"/>
        <w:widowControl/>
        <w:kinsoku w:val="0"/>
        <w:wordWrap/>
        <w:overflowPunct/>
        <w:topLinePunct w:val="0"/>
        <w:autoSpaceDE w:val="0"/>
        <w:autoSpaceDN w:val="0"/>
        <w:bidi w:val="0"/>
        <w:adjustRightInd w:val="0"/>
        <w:snapToGrid w:val="0"/>
        <w:spacing w:before="120" w:beforeLines="50" w:line="600" w:lineRule="exact"/>
        <w:jc w:val="both"/>
        <w:textAlignment w:val="baseline"/>
        <w:rPr>
          <w:rFonts w:hint="default" w:ascii="Times New Roman" w:hAnsi="Times New Roman" w:eastAsia="仿宋" w:cs="Times New Roman"/>
          <w:b/>
          <w:color w:val="000000" w:themeColor="text1"/>
          <w:sz w:val="32"/>
          <w:szCs w:val="40"/>
          <w:lang w:val="en-US" w:eastAsia="zh-CN"/>
          <w14:textFill>
            <w14:solidFill>
              <w14:schemeClr w14:val="tx1"/>
            </w14:solidFill>
          </w14:textFill>
        </w:rPr>
      </w:pPr>
      <m:oMathPara>
        <m:oMath>
          <m:r>
            <m:rPr/>
            <w:rPr>
              <w:rFonts w:hint="eastAsia" w:ascii="Cambria Math" w:hAnsi="Cambria Math" w:eastAsia="仿宋" w:cs="Times New Roman"/>
              <w:color w:val="000000" w:themeColor="text1"/>
              <w:sz w:val="22"/>
              <w:szCs w:val="40"/>
              <w:lang w:val="en-US" w:eastAsia="zh-CN"/>
              <w14:textFill>
                <w14:solidFill>
                  <w14:schemeClr w14:val="tx1"/>
                </w14:solidFill>
              </w14:textFill>
            </w:rPr>
            <m:t>废弃物综合利用率</m:t>
          </m:r>
          <m:r>
            <m:rPr/>
            <w:rPr>
              <w:rFonts w:hint="eastAsia" w:ascii="Cambria Math" w:hAnsi="Cambria Math" w:eastAsia="仿宋" w:cs="Times New Roman"/>
              <w:color w:val="000000" w:themeColor="text1"/>
              <w:sz w:val="22"/>
              <w:szCs w:val="40"/>
              <w14:textFill>
                <w14:solidFill>
                  <w14:schemeClr w14:val="tx1"/>
                </w14:solidFill>
              </w14:textFill>
            </w:rPr>
            <m:t>（</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m:t>
          </m:r>
          <m:r>
            <m:rPr/>
            <w:rPr>
              <w:rFonts w:hint="eastAsia" w:ascii="Cambria Math" w:hAnsi="Cambria Math" w:eastAsia="仿宋" w:cs="Times New Roman"/>
              <w:color w:val="000000" w:themeColor="text1"/>
              <w:sz w:val="22"/>
              <w:szCs w:val="40"/>
              <w14:textFill>
                <w14:solidFill>
                  <w14:schemeClr w14:val="tx1"/>
                </w14:solidFill>
              </w14:textFill>
            </w:rPr>
            <m:t>）=</m:t>
          </m:r>
          <m:f>
            <m:fPr>
              <m:ctrlPr>
                <w:rPr>
                  <w:rFonts w:ascii="Cambria Math" w:hAnsi="Cambria Math" w:eastAsia="仿宋" w:cs="Times New Roman"/>
                  <w:i/>
                  <w:color w:val="000000" w:themeColor="text1"/>
                  <w:sz w:val="22"/>
                  <w:szCs w:val="40"/>
                  <w14:textFill>
                    <w14:solidFill>
                      <w14:schemeClr w14:val="tx1"/>
                    </w14:solidFill>
                  </w14:textFill>
                </w:rPr>
              </m:ctrlPr>
            </m:fPr>
            <m:num>
              <m:r>
                <m:rPr/>
                <w:rPr>
                  <w:rFonts w:hint="eastAsia" w:ascii="Cambria Math" w:hAnsi="Cambria Math" w:eastAsia="仿宋" w:cs="Times New Roman"/>
                  <w:color w:val="000000" w:themeColor="text1"/>
                  <w:sz w:val="22"/>
                  <w:szCs w:val="40"/>
                  <w:lang w:val="en-US" w:eastAsia="zh-CN"/>
                  <w14:textFill>
                    <w14:solidFill>
                      <w14:schemeClr w14:val="tx1"/>
                    </w14:solidFill>
                  </w14:textFill>
                </w:rPr>
                <m:t>回收利用的废弃物总量</m:t>
              </m:r>
              <m:r>
                <m:rPr/>
                <w:rPr>
                  <w:rFonts w:hint="eastAsia" w:ascii="Cambria Math" w:hAnsi="Cambria Math" w:eastAsia="仿宋" w:cs="Times New Roman"/>
                  <w:color w:val="000000" w:themeColor="text1"/>
                  <w:sz w:val="22"/>
                  <w:szCs w:val="40"/>
                  <w14:textFill>
                    <w14:solidFill>
                      <w14:schemeClr w14:val="tx1"/>
                    </w14:solidFill>
                  </w14:textFill>
                </w:rPr>
                <m:t>（吨）</m:t>
              </m:r>
              <m:ctrlPr>
                <w:rPr>
                  <w:rFonts w:ascii="Cambria Math" w:hAnsi="Cambria Math" w:eastAsia="仿宋" w:cs="Times New Roman"/>
                  <w:i/>
                  <w:color w:val="000000" w:themeColor="text1"/>
                  <w:sz w:val="22"/>
                  <w:szCs w:val="40"/>
                  <w14:textFill>
                    <w14:solidFill>
                      <w14:schemeClr w14:val="tx1"/>
                    </w14:solidFill>
                  </w14:textFill>
                </w:rPr>
              </m:ctrlPr>
            </m:num>
            <m:den>
              <m:r>
                <m:rPr/>
                <w:rPr>
                  <w:rFonts w:hint="eastAsia" w:ascii="Cambria Math" w:hAnsi="Cambria Math" w:eastAsia="仿宋" w:cs="Times New Roman"/>
                  <w:color w:val="000000" w:themeColor="text1"/>
                  <w:sz w:val="22"/>
                  <w:szCs w:val="40"/>
                  <w:lang w:val="en-US" w:eastAsia="zh-CN"/>
                  <w14:textFill>
                    <w14:solidFill>
                      <w14:schemeClr w14:val="tx1"/>
                    </w14:solidFill>
                  </w14:textFill>
                </w:rPr>
                <m:t>废弃物产生总量</m:t>
              </m:r>
              <m:r>
                <m:rPr/>
                <w:rPr>
                  <w:rFonts w:hint="eastAsia" w:ascii="Cambria Math" w:hAnsi="Cambria Math" w:eastAsia="仿宋" w:cs="Times New Roman"/>
                  <w:color w:val="000000" w:themeColor="text1"/>
                  <w:sz w:val="22"/>
                  <w:szCs w:val="40"/>
                  <w14:textFill>
                    <w14:solidFill>
                      <w14:schemeClr w14:val="tx1"/>
                    </w14:solidFill>
                  </w14:textFill>
                </w:rPr>
                <m:t>（</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吨</m:t>
              </m:r>
              <m:r>
                <m:rPr/>
                <w:rPr>
                  <w:rFonts w:hint="eastAsia" w:ascii="Cambria Math" w:hAnsi="Cambria Math" w:eastAsia="仿宋" w:cs="Times New Roman"/>
                  <w:color w:val="000000" w:themeColor="text1"/>
                  <w:sz w:val="22"/>
                  <w:szCs w:val="40"/>
                  <w14:textFill>
                    <w14:solidFill>
                      <w14:schemeClr w14:val="tx1"/>
                    </w14:solidFill>
                  </w14:textFill>
                </w:rPr>
                <m:t>）</m:t>
              </m:r>
              <m:ctrlPr>
                <w:rPr>
                  <w:rFonts w:ascii="Cambria Math" w:hAnsi="Cambria Math" w:eastAsia="仿宋" w:cs="Times New Roman"/>
                  <w:i/>
                  <w:color w:val="000000" w:themeColor="text1"/>
                  <w:sz w:val="22"/>
                  <w:szCs w:val="40"/>
                  <w14:textFill>
                    <w14:solidFill>
                      <w14:schemeClr w14:val="tx1"/>
                    </w14:solidFill>
                  </w14:textFill>
                </w:rPr>
              </m:ctrlPr>
            </m:den>
          </m:f>
        </m:oMath>
      </m:oMathPara>
    </w:p>
    <w:p w14:paraId="4FB9B23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废弃物可以单指工业固体废物，也可以指农业废弃物、生活垃圾、建筑垃圾等。如指工业固体废物，综合利用率达到94%得1分，每提高1%可加1分，最高7分。</w:t>
      </w:r>
    </w:p>
    <w:p w14:paraId="78AA6DD6">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1.5.再生原料使用率</w:t>
      </w:r>
    </w:p>
    <w:p w14:paraId="79E2125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44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m:oMathPara>
        <m:oMath>
          <m:r>
            <m:rPr/>
            <w:rPr>
              <w:rFonts w:hint="eastAsia" w:ascii="Cambria Math" w:hAnsi="Cambria Math" w:eastAsia="仿宋" w:cs="Times New Roman"/>
              <w:color w:val="000000" w:themeColor="text1"/>
              <w:sz w:val="22"/>
              <w:szCs w:val="40"/>
              <w:lang w:val="en-US" w:eastAsia="zh-CN"/>
              <w14:textFill>
                <w14:solidFill>
                  <w14:schemeClr w14:val="tx1"/>
                </w14:solidFill>
              </w14:textFill>
            </w:rPr>
            <m:t>再生原料使用 率</m:t>
          </m:r>
          <m:r>
            <m:rPr/>
            <w:rPr>
              <w:rFonts w:hint="eastAsia" w:ascii="Cambria Math" w:hAnsi="Cambria Math" w:eastAsia="仿宋" w:cs="Times New Roman"/>
              <w:color w:val="000000" w:themeColor="text1"/>
              <w:sz w:val="22"/>
              <w:szCs w:val="40"/>
              <w14:textFill>
                <w14:solidFill>
                  <w14:schemeClr w14:val="tx1"/>
                </w14:solidFill>
              </w14:textFill>
            </w:rPr>
            <m:t>（</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m:t>
          </m:r>
          <m:f>
            <m:fPr>
              <m:ctrlPr>
                <w:rPr>
                  <w:rFonts w:hint="eastAsia" w:ascii="Cambria Math" w:hAnsi="Cambria Math" w:eastAsia="仿宋" w:cs="Times New Roman"/>
                  <w:i/>
                  <w:color w:val="000000" w:themeColor="text1"/>
                  <w:sz w:val="22"/>
                  <w:szCs w:val="40"/>
                  <w:lang w:val="en-US" w:eastAsia="zh-CN"/>
                  <w14:textFill>
                    <w14:solidFill>
                      <w14:schemeClr w14:val="tx1"/>
                    </w14:solidFill>
                  </w14:textFill>
                </w:rPr>
              </m:ctrlPr>
            </m:fPr>
            <m:num>
              <m:r>
                <m:rPr/>
                <w:rPr>
                  <w:rFonts w:hint="eastAsia" w:ascii="Cambria Math" w:hAnsi="Cambria Math" w:eastAsia="仿宋" w:cs="Times New Roman"/>
                  <w:color w:val="000000" w:themeColor="text1"/>
                  <w:sz w:val="22"/>
                  <w:szCs w:val="40"/>
                  <w:lang w:val="en-US" w:eastAsia="zh-CN"/>
                  <w14:textFill>
                    <w14:solidFill>
                      <w14:schemeClr w14:val="tx1"/>
                    </w14:solidFill>
                  </w14:textFill>
                </w:rPr>
                <m:t>再生材料使用量（吨）</m:t>
              </m:r>
              <m:ctrlPr>
                <w:rPr>
                  <w:rFonts w:hint="eastAsia" w:ascii="Cambria Math" w:hAnsi="Cambria Math" w:eastAsia="仿宋" w:cs="Times New Roman"/>
                  <w:i/>
                  <w:color w:val="000000" w:themeColor="text1"/>
                  <w:sz w:val="22"/>
                  <w:szCs w:val="40"/>
                  <w:lang w:val="en-US" w:eastAsia="zh-CN"/>
                  <w14:textFill>
                    <w14:solidFill>
                      <w14:schemeClr w14:val="tx1"/>
                    </w14:solidFill>
                  </w14:textFill>
                </w:rPr>
              </m:ctrlPr>
            </m:num>
            <m:den>
              <m:r>
                <m:rPr/>
                <w:rPr>
                  <w:rFonts w:hint="eastAsia" w:ascii="Cambria Math" w:hAnsi="Cambria Math" w:eastAsia="仿宋" w:cs="Times New Roman"/>
                  <w:color w:val="000000" w:themeColor="text1"/>
                  <w:sz w:val="22"/>
                  <w:szCs w:val="40"/>
                  <w:lang w:val="en-US" w:eastAsia="zh-CN"/>
                  <w14:textFill>
                    <w14:solidFill>
                      <w14:schemeClr w14:val="tx1"/>
                    </w14:solidFill>
                  </w14:textFill>
                </w:rPr>
                <m:t>某种材料使用总量（吨）</m:t>
              </m:r>
              <m:ctrlPr>
                <w:rPr>
                  <w:rFonts w:hint="eastAsia" w:ascii="Cambria Math" w:hAnsi="Cambria Math" w:eastAsia="仿宋" w:cs="Times New Roman"/>
                  <w:i/>
                  <w:color w:val="000000" w:themeColor="text1"/>
                  <w:sz w:val="22"/>
                  <w:szCs w:val="40"/>
                  <w:lang w:val="en-US" w:eastAsia="zh-CN"/>
                  <w14:textFill>
                    <w14:solidFill>
                      <w14:schemeClr w14:val="tx1"/>
                    </w14:solidFill>
                  </w14:textFill>
                </w:rPr>
              </m:ctrlPr>
            </m:den>
          </m:f>
        </m:oMath>
      </m:oMathPara>
    </w:p>
    <w:p w14:paraId="69C732B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再生原料使用率达到5%可得1分，每提高5个百分可加1分，最高4分。</w:t>
      </w:r>
    </w:p>
    <w:p w14:paraId="3701FFBB">
      <w:pPr>
        <w:keepNext w:val="0"/>
        <w:keepLines w:val="0"/>
        <w:pageBreakBefore w:val="0"/>
        <w:widowControl/>
        <w:kinsoku w:val="0"/>
        <w:wordWrap/>
        <w:overflowPunct/>
        <w:topLinePunct w:val="0"/>
        <w:autoSpaceDE w:val="0"/>
        <w:autoSpaceDN w:val="0"/>
        <w:bidi w:val="0"/>
        <w:adjustRightInd w:val="0"/>
        <w:snapToGrid w:val="0"/>
        <w:spacing w:before="0" w:beforeLines="50" w:after="0" w:afterLines="-2147483648" w:line="600" w:lineRule="exact"/>
        <w:ind w:firstLine="562" w:firstLineChars="200"/>
        <w:jc w:val="both"/>
        <w:textAlignment w:val="baseline"/>
        <w:rPr>
          <w:rFonts w:hint="default"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1.6. 无废细胞建设</w:t>
      </w:r>
    </w:p>
    <w:p w14:paraId="79C977FF">
      <w:pPr>
        <w:keepNext w:val="0"/>
        <w:keepLines w:val="0"/>
        <w:pageBreakBefore w:val="0"/>
        <w:widowControl/>
        <w:kinsoku w:val="0"/>
        <w:wordWrap/>
        <w:overflowPunct/>
        <w:topLinePunct w:val="0"/>
        <w:autoSpaceDE w:val="0"/>
        <w:autoSpaceDN w:val="0"/>
        <w:bidi w:val="0"/>
        <w:adjustRightInd w:val="0"/>
        <w:snapToGrid w:val="0"/>
        <w:spacing w:before="313" w:beforeLines="100" w:after="157" w:afterLines="50" w:line="312" w:lineRule="auto"/>
        <w:ind w:firstLine="560" w:firstLineChars="200"/>
        <w:jc w:val="both"/>
        <w:textAlignment w:val="baseline"/>
        <w:rPr>
          <w:rFonts w:hint="default" w:ascii="Times New Roman" w:hAnsi="Times New Roman" w:eastAsia="仿宋" w:cs="Times New Roman"/>
          <w:b w:val="0"/>
          <w:bCs/>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val="0"/>
          <w:bCs/>
          <w:color w:val="000000" w:themeColor="text1"/>
          <w:sz w:val="28"/>
          <w:szCs w:val="36"/>
          <w:lang w:val="en-US" w:eastAsia="zh-CN"/>
          <w14:textFill>
            <w14:solidFill>
              <w14:schemeClr w14:val="tx1"/>
            </w14:solidFill>
          </w14:textFill>
        </w:rPr>
        <w:t>入选市级“无废细胞”典型案例，并在“上海环境”等相关平台宣传推广的，得3分。入选区级“无废细胞”典型案例，并在相关平台宣传推广的，得2分。按照《</w:t>
      </w:r>
      <w:r>
        <w:rPr>
          <w:rStyle w:val="6"/>
          <w:rFonts w:hint="eastAsia" w:ascii="Times New Roman" w:hAnsi="Times New Roman" w:eastAsia="仿宋" w:cs="Times New Roman"/>
          <w:b w:val="0"/>
          <w:bCs/>
          <w:i w:val="0"/>
          <w:iCs w:val="0"/>
          <w:caps w:val="0"/>
          <w:color w:val="000000" w:themeColor="text1"/>
          <w:spacing w:val="0"/>
          <w:sz w:val="28"/>
          <w:szCs w:val="36"/>
          <w14:textFill>
            <w14:solidFill>
              <w14:schemeClr w14:val="tx1"/>
            </w14:solidFill>
          </w14:textFill>
        </w:rPr>
        <w:t>上海市</w:t>
      </w:r>
      <w:r>
        <w:rPr>
          <w:rStyle w:val="6"/>
          <w:rFonts w:hint="eastAsia" w:ascii="Times New Roman" w:hAnsi="Times New Roman" w:eastAsia="仿宋" w:cs="Times New Roman"/>
          <w:b w:val="0"/>
          <w:bCs/>
          <w:i w:val="0"/>
          <w:iCs w:val="0"/>
          <w:caps w:val="0"/>
          <w:color w:val="000000" w:themeColor="text1"/>
          <w:spacing w:val="0"/>
          <w:sz w:val="28"/>
          <w:szCs w:val="36"/>
          <w:lang w:eastAsia="zh-CN"/>
          <w14:textFill>
            <w14:solidFill>
              <w14:schemeClr w14:val="tx1"/>
            </w14:solidFill>
          </w14:textFill>
        </w:rPr>
        <w:t>“</w:t>
      </w:r>
      <w:r>
        <w:rPr>
          <w:rFonts w:hint="eastAsia" w:ascii="Times New Roman" w:hAnsi="Times New Roman" w:eastAsia="仿宋" w:cs="Times New Roman"/>
          <w:b w:val="0"/>
          <w:bCs/>
          <w:color w:val="000000" w:themeColor="text1"/>
          <w:sz w:val="28"/>
          <w:szCs w:val="36"/>
          <w:lang w:val="en-US" w:eastAsia="zh-CN"/>
          <w14:textFill>
            <w14:solidFill>
              <w14:schemeClr w14:val="tx1"/>
            </w14:solidFill>
          </w14:textFill>
        </w:rPr>
        <w:t>无废细胞”建设评估细则</w:t>
      </w:r>
      <w:r>
        <w:rPr>
          <w:rStyle w:val="6"/>
          <w:rFonts w:hint="eastAsia" w:ascii="Times New Roman" w:hAnsi="Times New Roman" w:eastAsia="仿宋" w:cs="Times New Roman"/>
          <w:b w:val="0"/>
          <w:bCs/>
          <w:i w:val="0"/>
          <w:iCs w:val="0"/>
          <w:caps w:val="0"/>
          <w:color w:val="000000" w:themeColor="text1"/>
          <w:spacing w:val="0"/>
          <w:sz w:val="28"/>
          <w:szCs w:val="36"/>
          <w14:textFill>
            <w14:solidFill>
              <w14:schemeClr w14:val="tx1"/>
            </w14:solidFill>
          </w14:textFill>
        </w:rPr>
        <w:t>（2023版）</w:t>
      </w:r>
      <w:r>
        <w:rPr>
          <w:rFonts w:hint="eastAsia" w:ascii="Times New Roman" w:hAnsi="Times New Roman" w:eastAsia="仿宋" w:cs="Times New Roman"/>
          <w:b w:val="0"/>
          <w:bCs/>
          <w:color w:val="000000" w:themeColor="text1"/>
          <w:sz w:val="28"/>
          <w:szCs w:val="36"/>
          <w:lang w:val="en-US" w:eastAsia="zh-CN"/>
          <w14:textFill>
            <w14:solidFill>
              <w14:schemeClr w14:val="tx1"/>
            </w14:solidFill>
          </w14:textFill>
        </w:rPr>
        <w:t>》进行自评，且评分达90分以上的，得1分。</w:t>
      </w:r>
    </w:p>
    <w:p w14:paraId="06DC74C2">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2.1 大气污染物排放强度</w:t>
      </w:r>
    </w:p>
    <w:p w14:paraId="1CF47833">
      <w:pPr>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Ansi="Cambria Math" w:eastAsia="仿宋" w:cs="Times New Roman"/>
          <w:i/>
          <w:color w:val="000000" w:themeColor="text1"/>
          <w:sz w:val="22"/>
          <w:szCs w:val="40"/>
          <w14:textFill>
            <w14:solidFill>
              <w14:schemeClr w14:val="tx1"/>
            </w14:solidFill>
          </w14:textFill>
        </w:rPr>
      </w:pPr>
      <m:oMathPara>
        <m:oMathParaPr>
          <m:jc m:val="center"/>
        </m:oMathParaPr>
        <m:oMath>
          <m:r>
            <m:rPr/>
            <w:rPr>
              <w:rFonts w:hint="eastAsia" w:ascii="Cambria Math" w:hAnsi="Cambria Math" w:eastAsia="仿宋" w:cs="Times New Roman"/>
              <w:color w:val="000000" w:themeColor="text1"/>
              <w:sz w:val="22"/>
              <w:szCs w:val="40"/>
              <w14:textFill>
                <w14:solidFill>
                  <w14:schemeClr w14:val="tx1"/>
                </w14:solidFill>
              </w14:textFill>
            </w:rPr>
            <m:t>大气污染物排放强度（污染当量</m:t>
          </m:r>
          <m:r>
            <m:rPr/>
            <w:rPr>
              <w:rFonts w:ascii="Cambria Math" w:hAnsi="Cambria Math" w:eastAsia="仿宋" w:cs="Times New Roman"/>
              <w:color w:val="000000" w:themeColor="text1"/>
              <w:sz w:val="22"/>
              <w:szCs w:val="40"/>
              <w14:textFill>
                <w14:solidFill>
                  <w14:schemeClr w14:val="tx1"/>
                </w14:solidFill>
              </w14:textFill>
            </w:rPr>
            <m:t>/万元</m:t>
          </m:r>
          <m:r>
            <m:rPr/>
            <w:rPr>
              <w:rFonts w:hint="eastAsia" w:ascii="Cambria Math" w:hAnsi="Cambria Math" w:eastAsia="仿宋" w:cs="Times New Roman"/>
              <w:color w:val="000000" w:themeColor="text1"/>
              <w:sz w:val="22"/>
              <w:szCs w:val="40"/>
              <w14:textFill>
                <w14:solidFill>
                  <w14:schemeClr w14:val="tx1"/>
                </w14:solidFill>
              </w14:textFill>
            </w:rPr>
            <m:t>）=</m:t>
          </m:r>
          <m:f>
            <m:fPr>
              <m:ctrlPr>
                <w:rPr>
                  <w:rFonts w:ascii="Cambria Math" w:hAnsi="Cambria Math" w:eastAsia="仿宋" w:cs="Times New Roman"/>
                  <w:i/>
                  <w:color w:val="000000" w:themeColor="text1"/>
                  <w:sz w:val="22"/>
                  <w:szCs w:val="40"/>
                  <w14:textFill>
                    <w14:solidFill>
                      <w14:schemeClr w14:val="tx1"/>
                    </w14:solidFill>
                  </w14:textFill>
                </w:rPr>
              </m:ctrlPr>
            </m:fPr>
            <m:num>
              <m:r>
                <m:rPr/>
                <w:rPr>
                  <w:rFonts w:ascii="Cambria Math" w:hAnsi="Cambria Math" w:eastAsia="仿宋" w:cs="Times New Roman"/>
                  <w:color w:val="000000" w:themeColor="text1"/>
                  <w:sz w:val="22"/>
                  <w:szCs w:val="40"/>
                  <w14:textFill>
                    <w14:solidFill>
                      <w14:schemeClr w14:val="tx1"/>
                    </w14:solidFill>
                  </w14:textFill>
                </w:rPr>
                <m:t>∑</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主要</m:t>
              </m:r>
              <m:r>
                <m:rPr/>
                <w:rPr>
                  <w:rFonts w:ascii="Cambria Math" w:hAnsi="Cambria Math" w:eastAsia="仿宋" w:cs="Times New Roman"/>
                  <w:color w:val="000000" w:themeColor="text1"/>
                  <w:sz w:val="22"/>
                  <w:szCs w:val="40"/>
                  <w14:textFill>
                    <w14:solidFill>
                      <w14:schemeClr w14:val="tx1"/>
                    </w14:solidFill>
                  </w14:textFill>
                </w:rPr>
                <m:t>大气污染物</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排放</m:t>
              </m:r>
              <m:r>
                <m:rPr/>
                <w:rPr>
                  <w:rFonts w:ascii="Cambria Math" w:hAnsi="Cambria Math" w:eastAsia="仿宋" w:cs="Times New Roman"/>
                  <w:color w:val="000000" w:themeColor="text1"/>
                  <w:sz w:val="22"/>
                  <w:szCs w:val="40"/>
                  <w14:textFill>
                    <w14:solidFill>
                      <w14:schemeClr w14:val="tx1"/>
                    </w14:solidFill>
                  </w14:textFill>
                </w:rPr>
                <m:t>当量数</m:t>
              </m:r>
              <m:ctrlPr>
                <w:rPr>
                  <w:rFonts w:ascii="Cambria Math" w:hAnsi="Cambria Math" w:eastAsia="仿宋" w:cs="Times New Roman"/>
                  <w:i/>
                  <w:color w:val="000000" w:themeColor="text1"/>
                  <w:sz w:val="22"/>
                  <w:szCs w:val="40"/>
                  <w14:textFill>
                    <w14:solidFill>
                      <w14:schemeClr w14:val="tx1"/>
                    </w14:solidFill>
                  </w14:textFill>
                </w:rPr>
              </m:ctrlPr>
            </m:num>
            <m:den>
              <m:r>
                <m:rPr/>
                <w:rPr>
                  <w:rFonts w:ascii="Cambria Math" w:hAnsi="Cambria Math" w:eastAsia="仿宋" w:cs="Times New Roman"/>
                  <w:color w:val="000000" w:themeColor="text1"/>
                  <w:sz w:val="22"/>
                  <w:szCs w:val="40"/>
                  <w14:textFill>
                    <w14:solidFill>
                      <w14:schemeClr w14:val="tx1"/>
                    </w14:solidFill>
                  </w14:textFill>
                </w:rPr>
                <m:t>工业总产值</m:t>
              </m:r>
              <m:r>
                <m:rPr/>
                <w:rPr>
                  <w:rFonts w:hint="eastAsia" w:ascii="Cambria Math" w:hAnsi="Cambria Math" w:eastAsia="仿宋" w:cs="Times New Roman"/>
                  <w:color w:val="000000" w:themeColor="text1"/>
                  <w:sz w:val="22"/>
                  <w:szCs w:val="40"/>
                  <w14:textFill>
                    <w14:solidFill>
                      <w14:schemeClr w14:val="tx1"/>
                    </w14:solidFill>
                  </w14:textFill>
                </w:rPr>
                <m:t>（万元）</m:t>
              </m:r>
              <m:ctrlPr>
                <w:rPr>
                  <w:rFonts w:ascii="Cambria Math" w:hAnsi="Cambria Math" w:eastAsia="仿宋" w:cs="Times New Roman"/>
                  <w:i/>
                  <w:color w:val="000000" w:themeColor="text1"/>
                  <w:sz w:val="22"/>
                  <w:szCs w:val="40"/>
                  <w14:textFill>
                    <w14:solidFill>
                      <w14:schemeClr w14:val="tx1"/>
                    </w14:solidFill>
                  </w14:textFill>
                </w:rPr>
              </m:ctrlPr>
            </m:den>
          </m:f>
        </m:oMath>
      </m:oMathPara>
    </w:p>
    <w:p w14:paraId="3844E2FE">
      <w:pPr>
        <w:keepNext w:val="0"/>
        <w:keepLines w:val="0"/>
        <w:pageBreakBefore w:val="0"/>
        <w:widowControl/>
        <w:kinsoku/>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主要大气污染物排放当量数为该企业上一年度的环境统计年报上报数据，按《中华人民共和国环境保护税法》所附的《应税污染物和当量值表》计算所得。大气污染物排放强度行业均值由上一年度环境统计年报中各行业主要大气污染物排放情况计算得出。达到所属行业平均水平，得1分；低于所属行业平均水平10%，得2分；低于所属行业平均水平20%，得3分；低于所属行业平均水平30%，得4分；低于所属行业平均水平40%，得5分；低于所属行业平均水平50%，得6分；低于所属行业平均水平60%，得7分。</w:t>
      </w:r>
      <w:r>
        <w:rPr>
          <w:rFonts w:hint="eastAsia" w:ascii="Times New Roman" w:hAnsi="Times New Roman" w:eastAsia="仿宋" w:cs="Times New Roman"/>
          <w:color w:val="000000" w:themeColor="text1"/>
          <w:sz w:val="28"/>
          <w:szCs w:val="36"/>
          <w:highlight w:val="none"/>
          <w:lang w:val="en-US" w:eastAsia="zh-CN"/>
          <w14:textFill>
            <w14:solidFill>
              <w14:schemeClr w14:val="tx1"/>
            </w14:solidFill>
          </w14:textFill>
        </w:rPr>
        <w:t>如果行业没有平均水平数据，则可与自身上一年度同期排放强度对标。</w:t>
      </w:r>
      <w:r>
        <w:rPr>
          <w:rFonts w:hint="eastAsia" w:ascii="Times New Roman" w:hAnsi="Times New Roman" w:eastAsia="仿宋" w:cs="Times New Roman"/>
          <w:color w:val="000000" w:themeColor="text1"/>
          <w:sz w:val="28"/>
          <w:szCs w:val="36"/>
          <w14:textFill>
            <w14:solidFill>
              <w14:schemeClr w14:val="tx1"/>
            </w14:solidFill>
          </w14:textFill>
        </w:rPr>
        <w:t>基本持平（+/-</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36"/>
          <w14:textFill>
            <w14:solidFill>
              <w14:schemeClr w14:val="tx1"/>
            </w14:solidFill>
          </w14:textFill>
        </w:rPr>
        <w:t>%以内</w:t>
      </w:r>
      <w:r>
        <w:rPr>
          <w:rFonts w:hint="eastAsia" w:ascii="Times New Roman" w:hAnsi="Times New Roman" w:eastAsia="仿宋" w:cs="Times New Roman"/>
          <w:color w:val="000000" w:themeColor="text1"/>
          <w:sz w:val="28"/>
          <w:szCs w:val="36"/>
          <w:lang w:eastAsia="zh-CN"/>
          <w14:textFill>
            <w14:solidFill>
              <w14:schemeClr w14:val="tx1"/>
            </w14:solidFill>
          </w14:textFill>
        </w:rPr>
        <w:t>）</w:t>
      </w:r>
      <w:r>
        <w:rPr>
          <w:rFonts w:hint="eastAsia" w:ascii="Times New Roman" w:hAnsi="Times New Roman" w:eastAsia="仿宋" w:cs="Times New Roman"/>
          <w:color w:val="000000" w:themeColor="text1"/>
          <w:sz w:val="28"/>
          <w:szCs w:val="36"/>
          <w14:textFill>
            <w14:solidFill>
              <w14:schemeClr w14:val="tx1"/>
            </w14:solidFill>
          </w14:textFill>
        </w:rPr>
        <w:t>，得</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2</w:t>
      </w:r>
      <w:r>
        <w:rPr>
          <w:rFonts w:hint="eastAsia" w:ascii="Times New Roman" w:hAnsi="Times New Roman" w:eastAsia="仿宋" w:cs="Times New Roman"/>
          <w:color w:val="000000" w:themeColor="text1"/>
          <w:sz w:val="28"/>
          <w:szCs w:val="36"/>
          <w14:textFill>
            <w14:solidFill>
              <w14:schemeClr w14:val="tx1"/>
            </w14:solidFill>
          </w14:textFill>
        </w:rPr>
        <w:t>分，强度每下降</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36"/>
          <w14:textFill>
            <w14:solidFill>
              <w14:schemeClr w14:val="tx1"/>
            </w14:solidFill>
          </w14:textFill>
        </w:rPr>
        <w:t>%，加</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2</w:t>
      </w:r>
      <w:r>
        <w:rPr>
          <w:rFonts w:hint="eastAsia" w:ascii="Times New Roman" w:hAnsi="Times New Roman" w:eastAsia="仿宋" w:cs="Times New Roman"/>
          <w:color w:val="000000" w:themeColor="text1"/>
          <w:sz w:val="28"/>
          <w:szCs w:val="36"/>
          <w14:textFill>
            <w14:solidFill>
              <w14:schemeClr w14:val="tx1"/>
            </w14:solidFill>
          </w14:textFill>
        </w:rPr>
        <w:t>分；最高</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7</w:t>
      </w:r>
      <w:r>
        <w:rPr>
          <w:rFonts w:hint="eastAsia" w:ascii="Times New Roman" w:hAnsi="Times New Roman" w:eastAsia="仿宋" w:cs="Times New Roman"/>
          <w:color w:val="000000" w:themeColor="text1"/>
          <w:sz w:val="28"/>
          <w:szCs w:val="36"/>
          <w14:textFill>
            <w14:solidFill>
              <w14:schemeClr w14:val="tx1"/>
            </w14:solidFill>
          </w14:textFill>
        </w:rPr>
        <w:t>分。</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【该指标只适用于有大气污染物排放的工业企业。】</w:t>
      </w:r>
    </w:p>
    <w:p w14:paraId="48444E56">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ascii="Times New Roman" w:hAnsi="Times New Roman" w:eastAsia="仿宋" w:cs="Times New Roman"/>
          <w:b/>
          <w:color w:val="000000" w:themeColor="text1"/>
          <w:sz w:val="28"/>
          <w:szCs w:val="36"/>
          <w14:textFill>
            <w14:solidFill>
              <w14:schemeClr w14:val="tx1"/>
            </w14:solidFill>
          </w14:textFill>
        </w:rPr>
      </w:pPr>
      <w:r>
        <w:rPr>
          <w:rFonts w:ascii="Times New Roman" w:hAnsi="Times New Roman" w:eastAsia="仿宋" w:cs="Times New Roman"/>
          <w:b/>
          <w:color w:val="000000" w:themeColor="text1"/>
          <w:sz w:val="28"/>
          <w:szCs w:val="36"/>
          <w14:textFill>
            <w14:solidFill>
              <w14:schemeClr w14:val="tx1"/>
            </w14:solidFill>
          </w14:textFill>
        </w:rPr>
        <w:t>2.</w:t>
      </w: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 xml:space="preserve">2 </w:t>
      </w:r>
      <w:r>
        <w:rPr>
          <w:rFonts w:ascii="Times New Roman" w:hAnsi="Times New Roman" w:eastAsia="仿宋" w:cs="Times New Roman"/>
          <w:b/>
          <w:color w:val="000000" w:themeColor="text1"/>
          <w:sz w:val="28"/>
          <w:szCs w:val="36"/>
          <w14:textFill>
            <w14:solidFill>
              <w14:schemeClr w14:val="tx1"/>
            </w14:solidFill>
          </w14:textFill>
        </w:rPr>
        <w:t>水污染物排放强度</w:t>
      </w:r>
    </w:p>
    <w:p w14:paraId="549A39DF">
      <w:pPr>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Times New Roman" w:hAnsi="Times New Roman" w:eastAsia="仿宋" w:cs="Times New Roman"/>
          <w:i/>
          <w:color w:val="000000" w:themeColor="text1"/>
          <w:sz w:val="22"/>
          <w:szCs w:val="40"/>
          <w14:textFill>
            <w14:solidFill>
              <w14:schemeClr w14:val="tx1"/>
            </w14:solidFill>
          </w14:textFill>
        </w:rPr>
      </w:pPr>
      <m:oMathPara>
        <m:oMathParaPr>
          <m:jc m:val="center"/>
        </m:oMathParaPr>
        <m:oMath>
          <m:r>
            <m:rPr/>
            <w:rPr>
              <w:rFonts w:hint="eastAsia" w:ascii="Cambria Math" w:hAnsi="Cambria Math" w:eastAsia="仿宋" w:cs="Times New Roman"/>
              <w:color w:val="000000" w:themeColor="text1"/>
              <w:sz w:val="22"/>
              <w:szCs w:val="40"/>
              <w14:textFill>
                <w14:solidFill>
                  <w14:schemeClr w14:val="tx1"/>
                </w14:solidFill>
              </w14:textFill>
            </w:rPr>
            <m:t>水污染物排放强度（污染当量</m:t>
          </m:r>
          <m:r>
            <m:rPr/>
            <w:rPr>
              <w:rFonts w:ascii="Cambria Math" w:hAnsi="Cambria Math" w:eastAsia="仿宋" w:cs="Times New Roman"/>
              <w:color w:val="000000" w:themeColor="text1"/>
              <w:sz w:val="22"/>
              <w:szCs w:val="40"/>
              <w14:textFill>
                <w14:solidFill>
                  <w14:schemeClr w14:val="tx1"/>
                </w14:solidFill>
              </w14:textFill>
            </w:rPr>
            <m:t>/万元</m:t>
          </m:r>
          <m:r>
            <m:rPr/>
            <w:rPr>
              <w:rFonts w:hint="eastAsia" w:ascii="Cambria Math" w:hAnsi="Cambria Math" w:eastAsia="仿宋" w:cs="Times New Roman"/>
              <w:color w:val="000000" w:themeColor="text1"/>
              <w:sz w:val="22"/>
              <w:szCs w:val="40"/>
              <w14:textFill>
                <w14:solidFill>
                  <w14:schemeClr w14:val="tx1"/>
                </w14:solidFill>
              </w14:textFill>
            </w:rPr>
            <m:t>）=</m:t>
          </m:r>
          <m:f>
            <m:fPr>
              <m:ctrlPr>
                <w:rPr>
                  <w:rFonts w:ascii="Cambria Math" w:hAnsi="Cambria Math" w:eastAsia="仿宋" w:cs="Times New Roman"/>
                  <w:i/>
                  <w:color w:val="000000" w:themeColor="text1"/>
                  <w:sz w:val="22"/>
                  <w:szCs w:val="40"/>
                  <w14:textFill>
                    <w14:solidFill>
                      <w14:schemeClr w14:val="tx1"/>
                    </w14:solidFill>
                  </w14:textFill>
                </w:rPr>
              </m:ctrlPr>
            </m:fPr>
            <m:num>
              <m:r>
                <m:rPr/>
                <w:rPr>
                  <w:rFonts w:hint="eastAsia" w:ascii="Cambria Math" w:hAnsi="Cambria Math" w:eastAsia="仿宋" w:cs="Times New Roman"/>
                  <w:color w:val="000000" w:themeColor="text1"/>
                  <w:sz w:val="22"/>
                  <w:szCs w:val="40"/>
                  <w14:textFill>
                    <w14:solidFill>
                      <w14:schemeClr w14:val="tx1"/>
                    </w14:solidFill>
                  </w14:textFill>
                </w:rPr>
                <m:t>∑</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主要</m:t>
              </m:r>
              <m:r>
                <m:rPr/>
                <w:rPr>
                  <w:rFonts w:hint="eastAsia" w:ascii="Cambria Math" w:hAnsi="Cambria Math" w:eastAsia="仿宋" w:cs="Times New Roman"/>
                  <w:color w:val="000000" w:themeColor="text1"/>
                  <w:sz w:val="22"/>
                  <w:szCs w:val="40"/>
                  <w14:textFill>
                    <w14:solidFill>
                      <w14:schemeClr w14:val="tx1"/>
                    </w14:solidFill>
                  </w14:textFill>
                </w:rPr>
                <m:t>水污染物</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排放</m:t>
              </m:r>
              <m:r>
                <m:rPr/>
                <w:rPr>
                  <w:rFonts w:hint="eastAsia" w:ascii="Cambria Math" w:hAnsi="Cambria Math" w:eastAsia="仿宋" w:cs="Times New Roman"/>
                  <w:color w:val="000000" w:themeColor="text1"/>
                  <w:sz w:val="22"/>
                  <w:szCs w:val="40"/>
                  <w14:textFill>
                    <w14:solidFill>
                      <w14:schemeClr w14:val="tx1"/>
                    </w14:solidFill>
                  </w14:textFill>
                </w:rPr>
                <m:t>当量数</m:t>
              </m:r>
              <m:ctrlPr>
                <w:rPr>
                  <w:rFonts w:ascii="Cambria Math" w:hAnsi="Cambria Math" w:eastAsia="仿宋" w:cs="Times New Roman"/>
                  <w:i/>
                  <w:color w:val="000000" w:themeColor="text1"/>
                  <w:sz w:val="22"/>
                  <w:szCs w:val="40"/>
                  <w14:textFill>
                    <w14:solidFill>
                      <w14:schemeClr w14:val="tx1"/>
                    </w14:solidFill>
                  </w14:textFill>
                </w:rPr>
              </m:ctrlPr>
            </m:num>
            <m:den>
              <m:r>
                <m:rPr/>
                <w:rPr>
                  <w:rFonts w:ascii="Cambria Math" w:hAnsi="Cambria Math" w:eastAsia="仿宋" w:cs="Times New Roman"/>
                  <w:color w:val="000000" w:themeColor="text1"/>
                  <w:sz w:val="22"/>
                  <w:szCs w:val="40"/>
                  <w14:textFill>
                    <w14:solidFill>
                      <w14:schemeClr w14:val="tx1"/>
                    </w14:solidFill>
                  </w14:textFill>
                </w:rPr>
                <m:t>工业总产值</m:t>
              </m:r>
              <m:r>
                <m:rPr/>
                <w:rPr>
                  <w:rFonts w:hint="eastAsia" w:ascii="Cambria Math" w:hAnsi="Cambria Math" w:eastAsia="仿宋" w:cs="Times New Roman"/>
                  <w:color w:val="000000" w:themeColor="text1"/>
                  <w:sz w:val="22"/>
                  <w:szCs w:val="40"/>
                  <w14:textFill>
                    <w14:solidFill>
                      <w14:schemeClr w14:val="tx1"/>
                    </w14:solidFill>
                  </w14:textFill>
                </w:rPr>
                <m:t>（万元）</m:t>
              </m:r>
              <m:ctrlPr>
                <w:rPr>
                  <w:rFonts w:ascii="Cambria Math" w:hAnsi="Cambria Math" w:eastAsia="仿宋" w:cs="Times New Roman"/>
                  <w:i/>
                  <w:color w:val="000000" w:themeColor="text1"/>
                  <w:sz w:val="22"/>
                  <w:szCs w:val="40"/>
                  <w14:textFill>
                    <w14:solidFill>
                      <w14:schemeClr w14:val="tx1"/>
                    </w14:solidFill>
                  </w14:textFill>
                </w:rPr>
              </m:ctrlPr>
            </m:den>
          </m:f>
        </m:oMath>
      </m:oMathPara>
    </w:p>
    <w:p w14:paraId="1F49E4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主要水污染物排放当量数为该企业上一年度的环境统计年报上报数据，按《中华人民共和国环境保护税法》所附的《应税污染物和当量值表》计算所得。水污染物排放强度行业均值由上一年度环境统计年报中各行业主要污染物排放情况计算得出。达到所属行业平均水平，得1分；低于所属行业平均水平10%，得2分；低于所属行业平均水平20%，得3分；低于所属行业平均水平30%，得4分；低于所属行业平均水平40%，得5分；低于所属行业平均水平50%，得6分；低于所属行业平均水平60%，得7分。</w:t>
      </w:r>
      <w:r>
        <w:rPr>
          <w:rFonts w:hint="eastAsia" w:ascii="Times New Roman" w:hAnsi="Times New Roman" w:eastAsia="仿宋" w:cs="Times New Roman"/>
          <w:color w:val="000000" w:themeColor="text1"/>
          <w:sz w:val="28"/>
          <w:szCs w:val="36"/>
          <w:highlight w:val="none"/>
          <w:lang w:val="en-US" w:eastAsia="zh-CN"/>
          <w14:textFill>
            <w14:solidFill>
              <w14:schemeClr w14:val="tx1"/>
            </w14:solidFill>
          </w14:textFill>
        </w:rPr>
        <w:t>如果行业没有平均水平数据，则可与自身上一年度同期排放强度对标。</w:t>
      </w:r>
      <w:r>
        <w:rPr>
          <w:rFonts w:hint="eastAsia" w:ascii="Times New Roman" w:hAnsi="Times New Roman" w:eastAsia="仿宋" w:cs="Times New Roman"/>
          <w:color w:val="000000" w:themeColor="text1"/>
          <w:sz w:val="28"/>
          <w:szCs w:val="36"/>
          <w14:textFill>
            <w14:solidFill>
              <w14:schemeClr w14:val="tx1"/>
            </w14:solidFill>
          </w14:textFill>
        </w:rPr>
        <w:t>基本持平（+/-</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36"/>
          <w14:textFill>
            <w14:solidFill>
              <w14:schemeClr w14:val="tx1"/>
            </w14:solidFill>
          </w14:textFill>
        </w:rPr>
        <w:t>%以内</w:t>
      </w:r>
      <w:r>
        <w:rPr>
          <w:rFonts w:hint="eastAsia" w:ascii="Times New Roman" w:hAnsi="Times New Roman" w:eastAsia="仿宋" w:cs="Times New Roman"/>
          <w:color w:val="000000" w:themeColor="text1"/>
          <w:sz w:val="28"/>
          <w:szCs w:val="36"/>
          <w:lang w:eastAsia="zh-CN"/>
          <w14:textFill>
            <w14:solidFill>
              <w14:schemeClr w14:val="tx1"/>
            </w14:solidFill>
          </w14:textFill>
        </w:rPr>
        <w:t>）</w:t>
      </w:r>
      <w:r>
        <w:rPr>
          <w:rFonts w:hint="eastAsia" w:ascii="Times New Roman" w:hAnsi="Times New Roman" w:eastAsia="仿宋" w:cs="Times New Roman"/>
          <w:color w:val="000000" w:themeColor="text1"/>
          <w:sz w:val="28"/>
          <w:szCs w:val="36"/>
          <w14:textFill>
            <w14:solidFill>
              <w14:schemeClr w14:val="tx1"/>
            </w14:solidFill>
          </w14:textFill>
        </w:rPr>
        <w:t>，得</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2</w:t>
      </w:r>
      <w:r>
        <w:rPr>
          <w:rFonts w:hint="eastAsia" w:ascii="Times New Roman" w:hAnsi="Times New Roman" w:eastAsia="仿宋" w:cs="Times New Roman"/>
          <w:color w:val="000000" w:themeColor="text1"/>
          <w:sz w:val="28"/>
          <w:szCs w:val="36"/>
          <w14:textFill>
            <w14:solidFill>
              <w14:schemeClr w14:val="tx1"/>
            </w14:solidFill>
          </w14:textFill>
        </w:rPr>
        <w:t>分，强度每下降</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36"/>
          <w14:textFill>
            <w14:solidFill>
              <w14:schemeClr w14:val="tx1"/>
            </w14:solidFill>
          </w14:textFill>
        </w:rPr>
        <w:t>%，加</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2</w:t>
      </w:r>
      <w:r>
        <w:rPr>
          <w:rFonts w:hint="eastAsia" w:ascii="Times New Roman" w:hAnsi="Times New Roman" w:eastAsia="仿宋" w:cs="Times New Roman"/>
          <w:color w:val="000000" w:themeColor="text1"/>
          <w:sz w:val="28"/>
          <w:szCs w:val="36"/>
          <w14:textFill>
            <w14:solidFill>
              <w14:schemeClr w14:val="tx1"/>
            </w14:solidFill>
          </w14:textFill>
        </w:rPr>
        <w:t>分；最高</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7</w:t>
      </w:r>
      <w:r>
        <w:rPr>
          <w:rFonts w:hint="eastAsia" w:ascii="Times New Roman" w:hAnsi="Times New Roman" w:eastAsia="仿宋" w:cs="Times New Roman"/>
          <w:color w:val="000000" w:themeColor="text1"/>
          <w:sz w:val="28"/>
          <w:szCs w:val="36"/>
          <w14:textFill>
            <w14:solidFill>
              <w14:schemeClr w14:val="tx1"/>
            </w14:solidFill>
          </w14:textFill>
        </w:rPr>
        <w:t>分。</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【该指标只适用于有水污染物排放的工业企业和环境基础设施。】</w:t>
      </w:r>
    </w:p>
    <w:p w14:paraId="5CEA8149">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2.3 危险废物防控</w:t>
      </w:r>
    </w:p>
    <w:p w14:paraId="5BA0B53A">
      <w:pPr>
        <w:keepNext w:val="0"/>
        <w:keepLines w:val="0"/>
        <w:pageBreakBefore w:val="0"/>
        <w:widowControl/>
        <w:kinsoku w:val="0"/>
        <w:wordWrap/>
        <w:overflowPunct/>
        <w:topLinePunct w:val="0"/>
        <w:autoSpaceDE/>
        <w:autoSpaceDN/>
        <w:bidi w:val="0"/>
        <w:adjustRightInd w:val="0"/>
        <w:snapToGrid w:val="0"/>
        <w:spacing w:before="0" w:beforeLines="100" w:after="0" w:afterLines="0" w:line="312" w:lineRule="auto"/>
        <w:ind w:firstLine="560" w:firstLineChars="200"/>
        <w:jc w:val="both"/>
        <w:textAlignment w:val="baseline"/>
        <w:rPr>
          <w:rFonts w:hint="eastAsia" w:ascii="Times New Roman" w:hAnsi="Times New Roman" w:eastAsia="仿宋" w:cs="Times New Roman"/>
          <w:color w:val="auto"/>
          <w:sz w:val="28"/>
          <w:szCs w:val="36"/>
          <w:lang w:val="en-US" w:eastAsia="zh-CN"/>
        </w:rPr>
      </w:pPr>
      <w:r>
        <w:rPr>
          <w:rFonts w:hint="eastAsia" w:ascii="Times New Roman" w:hAnsi="Times New Roman" w:eastAsia="仿宋" w:cs="Times New Roman"/>
          <w:color w:val="auto"/>
          <w:sz w:val="28"/>
          <w:szCs w:val="36"/>
          <w:lang w:val="en-US" w:eastAsia="zh-CN"/>
        </w:rPr>
        <w:t>危险废物产生强度比上一年度减少可得1分，连续两年逐年递减可得2分。</w:t>
      </w:r>
    </w:p>
    <w:p w14:paraId="7B7084B0">
      <w:pPr>
        <w:keepNext w:val="0"/>
        <w:keepLines w:val="0"/>
        <w:pageBreakBefore w:val="0"/>
        <w:widowControl/>
        <w:kinsoku w:val="0"/>
        <w:wordWrap/>
        <w:overflowPunct/>
        <w:topLinePunct w:val="0"/>
        <w:autoSpaceDE/>
        <w:autoSpaceDN/>
        <w:bidi w:val="0"/>
        <w:adjustRightInd w:val="0"/>
        <w:snapToGrid w:val="0"/>
        <w:spacing w:before="0" w:beforeLines="100" w:after="0" w:afterLines="0" w:line="312" w:lineRule="auto"/>
        <w:ind w:firstLine="440" w:firstLineChars="200"/>
        <w:jc w:val="both"/>
        <w:textAlignment w:val="baseline"/>
        <w:rPr>
          <w:rFonts w:hint="eastAsia" w:ascii="Times New Roman" w:hAnsi="Times New Roman" w:eastAsia="仿宋" w:cs="Times New Roman"/>
          <w:color w:val="auto"/>
          <w:sz w:val="28"/>
          <w:szCs w:val="36"/>
          <w:lang w:val="en-US" w:eastAsia="zh-CN"/>
        </w:rPr>
      </w:pPr>
      <m:oMathPara>
        <m:oMathParaPr>
          <m:jc m:val="center"/>
        </m:oMathParaPr>
        <m:oMath>
          <m:r>
            <m:rPr/>
            <w:rPr>
              <w:rFonts w:hint="eastAsia" w:ascii="Cambria Math" w:hAnsi="Cambria Math" w:eastAsia="仿宋" w:cs="Times New Roman"/>
              <w:color w:val="auto"/>
              <w:sz w:val="22"/>
              <w:szCs w:val="40"/>
              <w:lang w:val="en-US" w:eastAsia="zh-CN"/>
            </w:rPr>
            <m:t>危险废物产生</m:t>
          </m:r>
          <m:r>
            <m:rPr/>
            <w:rPr>
              <w:rFonts w:hint="eastAsia" w:ascii="Cambria Math" w:hAnsi="Cambria Math" w:eastAsia="仿宋" w:cs="Times New Roman"/>
              <w:color w:val="auto"/>
              <w:sz w:val="22"/>
              <w:szCs w:val="40"/>
            </w:rPr>
            <m:t>强度（</m:t>
          </m:r>
          <m:r>
            <m:rPr/>
            <w:rPr>
              <w:rFonts w:hint="eastAsia" w:ascii="Cambria Math" w:hAnsi="Cambria Math" w:eastAsia="仿宋" w:cs="Times New Roman"/>
              <w:color w:val="auto"/>
              <w:sz w:val="22"/>
              <w:szCs w:val="40"/>
              <w:lang w:val="en-US" w:eastAsia="zh-CN"/>
            </w:rPr>
            <m:t>吨</m:t>
          </m:r>
          <m:r>
            <m:rPr/>
            <w:rPr>
              <w:rFonts w:ascii="Cambria Math" w:hAnsi="Cambria Math" w:eastAsia="仿宋" w:cs="Times New Roman"/>
              <w:color w:val="auto"/>
              <w:sz w:val="22"/>
              <w:szCs w:val="40"/>
            </w:rPr>
            <m:t>/万元</m:t>
          </m:r>
          <m:r>
            <m:rPr/>
            <w:rPr>
              <w:rFonts w:hint="eastAsia" w:ascii="Cambria Math" w:hAnsi="Cambria Math" w:eastAsia="仿宋" w:cs="Times New Roman"/>
              <w:color w:val="auto"/>
              <w:sz w:val="22"/>
              <w:szCs w:val="40"/>
            </w:rPr>
            <m:t>）=</m:t>
          </m:r>
          <m:f>
            <m:fPr>
              <m:ctrlPr>
                <w:rPr>
                  <w:rFonts w:ascii="Cambria Math" w:hAnsi="Cambria Math" w:eastAsia="仿宋" w:cs="Times New Roman"/>
                  <w:i/>
                  <w:color w:val="auto"/>
                  <w:sz w:val="22"/>
                  <w:szCs w:val="40"/>
                </w:rPr>
              </m:ctrlPr>
            </m:fPr>
            <m:num>
              <m:r>
                <m:rPr/>
                <w:rPr>
                  <w:rFonts w:hint="eastAsia" w:ascii="Cambria Math" w:hAnsi="Cambria Math" w:eastAsia="仿宋" w:cs="Times New Roman"/>
                  <w:color w:val="auto"/>
                  <w:sz w:val="22"/>
                  <w:szCs w:val="40"/>
                  <w:lang w:val="en-US" w:eastAsia="zh-CN"/>
                </w:rPr>
                <m:t>危险废物产生量（吨）</m:t>
              </m:r>
              <m:ctrlPr>
                <w:rPr>
                  <w:rFonts w:ascii="Cambria Math" w:hAnsi="Cambria Math" w:eastAsia="仿宋" w:cs="Times New Roman"/>
                  <w:i/>
                  <w:color w:val="auto"/>
                  <w:sz w:val="22"/>
                  <w:szCs w:val="40"/>
                </w:rPr>
              </m:ctrlPr>
            </m:num>
            <m:den>
              <m:r>
                <m:rPr/>
                <w:rPr>
                  <w:rFonts w:ascii="Cambria Math" w:hAnsi="Cambria Math" w:eastAsia="仿宋" w:cs="Times New Roman"/>
                  <w:color w:val="auto"/>
                  <w:sz w:val="22"/>
                  <w:szCs w:val="40"/>
                </w:rPr>
                <m:t>工业总产值</m:t>
              </m:r>
              <m:r>
                <m:rPr/>
                <w:rPr>
                  <w:rFonts w:hint="eastAsia" w:ascii="Cambria Math" w:hAnsi="Cambria Math" w:eastAsia="仿宋" w:cs="Times New Roman"/>
                  <w:color w:val="auto"/>
                  <w:sz w:val="22"/>
                  <w:szCs w:val="40"/>
                </w:rPr>
                <m:t>（万元）</m:t>
              </m:r>
              <m:ctrlPr>
                <w:rPr>
                  <w:rFonts w:ascii="Cambria Math" w:hAnsi="Cambria Math" w:eastAsia="仿宋" w:cs="Times New Roman"/>
                  <w:i/>
                  <w:color w:val="auto"/>
                  <w:sz w:val="22"/>
                  <w:szCs w:val="40"/>
                </w:rPr>
              </m:ctrlPr>
            </m:den>
          </m:f>
        </m:oMath>
      </m:oMathPara>
    </w:p>
    <w:p w14:paraId="27ED1FBE">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Lines="0" w:afterLines="0" w:line="312" w:lineRule="auto"/>
        <w:ind w:leftChars="0" w:firstLine="560" w:firstLineChars="200"/>
        <w:jc w:val="both"/>
        <w:textAlignment w:val="baseline"/>
        <w:rPr>
          <w:rFonts w:hint="eastAsia" w:ascii="Times New Roman" w:hAnsi="Times New Roman" w:eastAsia="仿宋" w:cs="Times New Roman"/>
          <w:snapToGrid w:val="0"/>
          <w:color w:val="auto"/>
          <w:kern w:val="0"/>
          <w:sz w:val="28"/>
          <w:szCs w:val="36"/>
          <w:lang w:val="en-US" w:eastAsia="zh-CN"/>
        </w:rPr>
      </w:pPr>
      <w:r>
        <w:rPr>
          <w:rFonts w:hint="eastAsia" w:ascii="Times New Roman" w:hAnsi="Times New Roman" w:eastAsia="仿宋" w:cs="Times New Roman"/>
          <w:snapToGrid w:val="0"/>
          <w:color w:val="auto"/>
          <w:kern w:val="0"/>
          <w:sz w:val="28"/>
          <w:szCs w:val="36"/>
          <w:lang w:val="en-US" w:eastAsia="zh-CN"/>
        </w:rPr>
        <w:t>危险废物按照要求规范分类贮存，并按照类别建立相应规范、真实的管理台账的，</w:t>
      </w:r>
      <w:r>
        <w:rPr>
          <w:rFonts w:hint="eastAsia" w:ascii="Times New Roman" w:hAnsi="Times New Roman" w:eastAsia="仿宋" w:cs="Times New Roman"/>
          <w:b w:val="0"/>
          <w:bCs w:val="0"/>
          <w:snapToGrid w:val="0"/>
          <w:color w:val="auto"/>
          <w:kern w:val="0"/>
          <w:sz w:val="28"/>
          <w:szCs w:val="36"/>
          <w:lang w:val="en-US" w:eastAsia="zh-CN"/>
        </w:rPr>
        <w:t>得1分</w:t>
      </w:r>
      <w:r>
        <w:rPr>
          <w:rFonts w:hint="eastAsia" w:ascii="Times New Roman" w:hAnsi="Times New Roman" w:eastAsia="仿宋" w:cs="Times New Roman"/>
          <w:snapToGrid w:val="0"/>
          <w:color w:val="auto"/>
          <w:kern w:val="0"/>
          <w:sz w:val="28"/>
          <w:szCs w:val="36"/>
          <w:lang w:val="en-US" w:eastAsia="zh-CN"/>
        </w:rPr>
        <w:t>。建立危险废物收集转运管理体系、转移过程执行联单制度的，</w:t>
      </w:r>
      <w:r>
        <w:rPr>
          <w:rFonts w:hint="eastAsia" w:ascii="Times New Roman" w:hAnsi="Times New Roman" w:eastAsia="仿宋" w:cs="Times New Roman"/>
          <w:b w:val="0"/>
          <w:bCs w:val="0"/>
          <w:snapToGrid w:val="0"/>
          <w:color w:val="auto"/>
          <w:kern w:val="0"/>
          <w:sz w:val="28"/>
          <w:szCs w:val="36"/>
          <w:lang w:val="en-US" w:eastAsia="zh-CN"/>
        </w:rPr>
        <w:t>得1分</w:t>
      </w:r>
      <w:r>
        <w:rPr>
          <w:rFonts w:hint="eastAsia" w:ascii="Times New Roman" w:hAnsi="Times New Roman" w:eastAsia="仿宋" w:cs="Times New Roman"/>
          <w:snapToGrid w:val="0"/>
          <w:color w:val="auto"/>
          <w:kern w:val="0"/>
          <w:sz w:val="28"/>
          <w:szCs w:val="36"/>
          <w:lang w:val="en-US" w:eastAsia="zh-CN"/>
        </w:rPr>
        <w:t>。</w:t>
      </w:r>
      <w:r>
        <w:rPr>
          <w:rFonts w:hint="eastAsia" w:ascii="Times New Roman" w:hAnsi="Times New Roman" w:eastAsia="仿宋" w:cs="Times New Roman"/>
          <w:color w:val="auto"/>
          <w:sz w:val="28"/>
          <w:szCs w:val="36"/>
          <w:lang w:val="en-US" w:eastAsia="zh-CN"/>
        </w:rPr>
        <w:t>危险废物能合法依规实现部分自行利用处置的，得1分。</w:t>
      </w:r>
    </w:p>
    <w:p w14:paraId="4C7519EE">
      <w:pPr>
        <w:keepNext w:val="0"/>
        <w:keepLines w:val="0"/>
        <w:pageBreakBefore w:val="0"/>
        <w:widowControl/>
        <w:kinsoku w:val="0"/>
        <w:wordWrap/>
        <w:overflowPunct/>
        <w:topLinePunct w:val="0"/>
        <w:autoSpaceDE/>
        <w:autoSpaceDN/>
        <w:bidi w:val="0"/>
        <w:adjustRightInd w:val="0"/>
        <w:snapToGrid w:val="0"/>
        <w:spacing w:before="0" w:beforeLines="0" w:after="0" w:afterLines="0" w:line="312" w:lineRule="auto"/>
        <w:ind w:firstLine="560" w:firstLineChars="200"/>
        <w:jc w:val="both"/>
        <w:textAlignment w:val="baseline"/>
        <w:rPr>
          <w:rFonts w:hint="eastAsia" w:ascii="Times New Roman" w:hAnsi="Times New Roman" w:eastAsia="仿宋" w:cs="Times New Roman"/>
          <w:b w:val="0"/>
          <w:bCs w:val="0"/>
          <w:snapToGrid w:val="0"/>
          <w:color w:val="auto"/>
          <w:kern w:val="0"/>
          <w:sz w:val="28"/>
          <w:szCs w:val="36"/>
          <w:highlight w:val="none"/>
          <w:lang w:val="en-US" w:eastAsia="zh-CN"/>
        </w:rPr>
      </w:pPr>
      <w:r>
        <w:rPr>
          <w:rFonts w:hint="eastAsia" w:ascii="Times New Roman" w:hAnsi="Times New Roman" w:eastAsia="仿宋" w:cs="Times New Roman"/>
          <w:snapToGrid w:val="0"/>
          <w:color w:val="auto"/>
          <w:kern w:val="0"/>
          <w:sz w:val="28"/>
          <w:szCs w:val="36"/>
          <w:highlight w:val="none"/>
          <w:lang w:val="en-US" w:eastAsia="zh-CN"/>
        </w:rPr>
        <w:t>按时在市固体废物信息管理系统规范填报相关信息数据的，得1分</w:t>
      </w:r>
      <w:r>
        <w:rPr>
          <w:rFonts w:hint="eastAsia" w:ascii="Times New Roman" w:hAnsi="Times New Roman" w:eastAsia="仿宋" w:cs="Times New Roman"/>
          <w:snapToGrid w:val="0"/>
          <w:color w:val="auto"/>
          <w:kern w:val="0"/>
          <w:sz w:val="28"/>
          <w:szCs w:val="36"/>
          <w:lang w:val="en-US" w:eastAsia="zh-CN"/>
        </w:rPr>
        <w:t>。</w:t>
      </w:r>
      <w:r>
        <w:rPr>
          <w:rFonts w:hint="eastAsia" w:ascii="Times New Roman" w:hAnsi="Times New Roman" w:eastAsia="仿宋" w:cs="Times New Roman"/>
          <w:snapToGrid w:val="0"/>
          <w:color w:val="auto"/>
          <w:kern w:val="0"/>
          <w:sz w:val="28"/>
          <w:szCs w:val="36"/>
          <w:highlight w:val="none"/>
          <w:lang w:val="en-US" w:eastAsia="zh-CN"/>
        </w:rPr>
        <w:t>自建系统或采购数字化产品服务实现危险废物全过程信息化管理的，</w:t>
      </w:r>
      <w:r>
        <w:rPr>
          <w:rFonts w:hint="eastAsia" w:ascii="Times New Roman" w:hAnsi="Times New Roman" w:eastAsia="仿宋" w:cs="Times New Roman"/>
          <w:b w:val="0"/>
          <w:bCs w:val="0"/>
          <w:snapToGrid w:val="0"/>
          <w:color w:val="auto"/>
          <w:kern w:val="0"/>
          <w:sz w:val="28"/>
          <w:szCs w:val="36"/>
          <w:highlight w:val="none"/>
          <w:lang w:val="en-US" w:eastAsia="zh-CN"/>
        </w:rPr>
        <w:t>得1分。</w:t>
      </w:r>
    </w:p>
    <w:p w14:paraId="4885E88F">
      <w:pPr>
        <w:keepNext w:val="0"/>
        <w:keepLines w:val="0"/>
        <w:pageBreakBefore w:val="0"/>
        <w:widowControl/>
        <w:kinsoku w:val="0"/>
        <w:wordWrap/>
        <w:overflowPunct/>
        <w:topLinePunct w:val="0"/>
        <w:autoSpaceDE w:val="0"/>
        <w:autoSpaceDN w:val="0"/>
        <w:bidi w:val="0"/>
        <w:adjustRightInd w:val="0"/>
        <w:snapToGrid w:val="0"/>
        <w:spacing w:before="0" w:beforeLines="100" w:afterLines="50" w:line="312" w:lineRule="auto"/>
        <w:ind w:firstLine="562" w:firstLineChars="200"/>
        <w:jc w:val="both"/>
        <w:textAlignment w:val="baseline"/>
        <w:rPr>
          <w:rFonts w:hint="eastAsia" w:ascii="Times New Roman" w:hAnsi="Times New Roman" w:eastAsia="仿宋" w:cs="Times New Roman"/>
          <w:b/>
          <w:color w:val="auto"/>
          <w:sz w:val="28"/>
          <w:szCs w:val="36"/>
          <w:lang w:val="en-US" w:eastAsia="zh-CN"/>
        </w:rPr>
      </w:pPr>
      <w:r>
        <w:rPr>
          <w:rFonts w:hint="eastAsia" w:ascii="Times New Roman" w:hAnsi="Times New Roman" w:eastAsia="仿宋" w:cs="Times New Roman"/>
          <w:b/>
          <w:color w:val="auto"/>
          <w:sz w:val="28"/>
          <w:szCs w:val="36"/>
          <w:lang w:val="en-US" w:eastAsia="zh-CN"/>
        </w:rPr>
        <w:t>2.4 生物多样性保护</w:t>
      </w:r>
    </w:p>
    <w:p w14:paraId="40215583">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default" w:ascii="Times New Roman" w:hAnsi="Times New Roman" w:eastAsia="仿宋" w:cs="Times New Roman"/>
          <w:color w:val="auto"/>
          <w:sz w:val="28"/>
          <w:szCs w:val="36"/>
          <w:highlight w:val="none"/>
          <w:lang w:val="en-US" w:eastAsia="zh-CN"/>
        </w:rPr>
      </w:pPr>
      <w:r>
        <w:rPr>
          <w:rFonts w:hint="eastAsia" w:ascii="Times New Roman" w:hAnsi="Times New Roman" w:eastAsia="仿宋" w:cs="Times New Roman"/>
          <w:color w:val="auto"/>
          <w:sz w:val="28"/>
          <w:szCs w:val="36"/>
          <w:lang w:val="en-US" w:eastAsia="zh-CN"/>
        </w:rPr>
        <w:t>使用生物友好型原料，如：森林管理委员会（FSC）认证、森林认证体系</w:t>
      </w:r>
      <w:r>
        <w:rPr>
          <w:rFonts w:hint="default" w:ascii="Times New Roman" w:hAnsi="Times New Roman" w:eastAsia="仿宋" w:cs="Times New Roman"/>
          <w:color w:val="auto"/>
          <w:sz w:val="28"/>
          <w:szCs w:val="36"/>
          <w:lang w:val="en-US" w:eastAsia="zh-CN"/>
        </w:rPr>
        <w:t>认可计划（PEFC）</w:t>
      </w:r>
      <w:r>
        <w:rPr>
          <w:rFonts w:hint="eastAsia" w:ascii="Times New Roman" w:hAnsi="Times New Roman" w:eastAsia="仿宋" w:cs="Times New Roman"/>
          <w:color w:val="auto"/>
          <w:sz w:val="28"/>
          <w:szCs w:val="36"/>
          <w:lang w:val="en-US" w:eastAsia="zh-CN"/>
        </w:rPr>
        <w:t>、中国森林认证委员会</w:t>
      </w:r>
      <w:r>
        <w:rPr>
          <w:rFonts w:hint="default" w:ascii="Times New Roman" w:hAnsi="Times New Roman" w:eastAsia="仿宋" w:cs="Times New Roman"/>
          <w:i w:val="0"/>
          <w:iCs w:val="0"/>
          <w:caps w:val="0"/>
          <w:color w:val="auto"/>
          <w:spacing w:val="0"/>
          <w:sz w:val="28"/>
          <w:szCs w:val="36"/>
          <w:shd w:val="clear"/>
          <w:lang w:val="en-US" w:eastAsia="zh-CN"/>
        </w:rPr>
        <w:t>（</w:t>
      </w:r>
      <w:r>
        <w:rPr>
          <w:rFonts w:hint="eastAsia" w:ascii="Times New Roman" w:hAnsi="Times New Roman" w:eastAsia="仿宋" w:cs="Times New Roman"/>
          <w:color w:val="auto"/>
          <w:sz w:val="28"/>
          <w:szCs w:val="36"/>
          <w:lang w:val="en-US" w:eastAsia="zh-CN"/>
        </w:rPr>
        <w:t>CFCC）</w:t>
      </w:r>
      <w:r>
        <w:rPr>
          <w:rFonts w:hint="default" w:ascii="Times New Roman" w:hAnsi="Times New Roman" w:eastAsia="仿宋" w:cs="Times New Roman"/>
          <w:i w:val="0"/>
          <w:iCs w:val="0"/>
          <w:caps w:val="0"/>
          <w:color w:val="auto"/>
          <w:spacing w:val="0"/>
          <w:sz w:val="28"/>
          <w:szCs w:val="36"/>
          <w:shd w:val="clear"/>
          <w:lang w:val="en-US" w:eastAsia="zh-CN"/>
        </w:rPr>
        <w:t>认证</w:t>
      </w:r>
      <w:r>
        <w:rPr>
          <w:rFonts w:hint="eastAsia" w:ascii="Times New Roman" w:hAnsi="Times New Roman" w:eastAsia="仿宋" w:cs="Times New Roman"/>
          <w:color w:val="auto"/>
          <w:sz w:val="28"/>
          <w:szCs w:val="36"/>
          <w:lang w:val="en-US" w:eastAsia="zh-CN"/>
        </w:rPr>
        <w:t>、海洋管理委员会 (MSC) 认证的产品等，得1分。开展生物多样性保护举措，如在单位附属绿地打</w:t>
      </w:r>
      <w:r>
        <w:rPr>
          <w:rFonts w:hint="eastAsia" w:ascii="Times New Roman" w:hAnsi="Times New Roman" w:eastAsia="仿宋" w:cs="Times New Roman"/>
          <w:color w:val="auto"/>
          <w:sz w:val="28"/>
          <w:szCs w:val="36"/>
          <w:highlight w:val="none"/>
          <w:lang w:val="en-US" w:eastAsia="zh-CN"/>
        </w:rPr>
        <w:t>造200平米及以上生境花园并实现开放共享、</w:t>
      </w:r>
      <w:r>
        <w:rPr>
          <w:rFonts w:hint="eastAsia" w:ascii="Times New Roman" w:hAnsi="Times New Roman" w:eastAsia="仿宋" w:cs="Times New Roman"/>
          <w:color w:val="auto"/>
          <w:sz w:val="28"/>
          <w:szCs w:val="36"/>
          <w:lang w:val="en-US" w:eastAsia="zh-CN"/>
        </w:rPr>
        <w:t>开展生物多样性保护能力建设（包括培训、宣传）</w:t>
      </w:r>
      <w:r>
        <w:rPr>
          <w:rFonts w:hint="eastAsia" w:ascii="Times New Roman" w:hAnsi="Times New Roman" w:eastAsia="仿宋" w:cs="Times New Roman"/>
          <w:color w:val="auto"/>
          <w:sz w:val="28"/>
          <w:szCs w:val="36"/>
          <w:highlight w:val="none"/>
          <w:lang w:val="en-US" w:eastAsia="zh-CN"/>
        </w:rPr>
        <w:t>等，得1-2分。</w:t>
      </w:r>
    </w:p>
    <w:p w14:paraId="4D1A057F">
      <w:pPr>
        <w:keepNext w:val="0"/>
        <w:keepLines w:val="0"/>
        <w:pageBreakBefore w:val="0"/>
        <w:widowControl/>
        <w:kinsoku w:val="0"/>
        <w:wordWrap/>
        <w:overflowPunct/>
        <w:topLinePunct w:val="0"/>
        <w:autoSpaceDE w:val="0"/>
        <w:autoSpaceDN w:val="0"/>
        <w:bidi w:val="0"/>
        <w:adjustRightInd w:val="0"/>
        <w:snapToGrid w:val="0"/>
        <w:spacing w:before="0" w:beforeLines="100" w:afterLines="50" w:line="312" w:lineRule="auto"/>
        <w:ind w:firstLine="562" w:firstLineChars="200"/>
        <w:jc w:val="both"/>
        <w:textAlignment w:val="baseline"/>
        <w:rPr>
          <w:rFonts w:hint="eastAsia" w:ascii="Times New Roman" w:hAnsi="Times New Roman" w:eastAsia="仿宋" w:cs="Times New Roman"/>
          <w:b/>
          <w:color w:val="auto"/>
          <w:sz w:val="28"/>
          <w:szCs w:val="36"/>
          <w:lang w:val="en-US" w:eastAsia="zh-CN"/>
        </w:rPr>
      </w:pPr>
      <w:r>
        <w:rPr>
          <w:rFonts w:hint="eastAsia" w:ascii="Times New Roman" w:hAnsi="Times New Roman" w:eastAsia="仿宋" w:cs="Times New Roman"/>
          <w:b/>
          <w:color w:val="auto"/>
          <w:sz w:val="28"/>
          <w:szCs w:val="36"/>
          <w:lang w:val="en-US" w:eastAsia="zh-CN"/>
        </w:rPr>
        <w:t>2.5 新污染物防控</w:t>
      </w:r>
    </w:p>
    <w:p w14:paraId="5724864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开展产品或原料中重点管控新污染物标识体系建设的，得1分。开展相关涉及重点管控新污染物材料淘汰替代等工作的，得1分。建立农药类、抗生素类使用追溯体系的，得1分。开展新污染物监测管理工作的，得1分。【该指标只涉及有新污染物使用或排放的企业。】</w:t>
      </w:r>
    </w:p>
    <w:p w14:paraId="21E4C3F8">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3.1 碳排放强度</w:t>
      </w:r>
    </w:p>
    <w:p w14:paraId="47441DCA">
      <w:pPr>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Ansi="Cambria Math" w:eastAsia="仿宋" w:cs="Times New Roman"/>
          <w:i/>
          <w:color w:val="000000" w:themeColor="text1"/>
          <w:sz w:val="22"/>
          <w:szCs w:val="40"/>
          <w14:textFill>
            <w14:solidFill>
              <w14:schemeClr w14:val="tx1"/>
            </w14:solidFill>
          </w14:textFill>
        </w:rPr>
      </w:pPr>
      <m:oMathPara>
        <m:oMathParaPr>
          <m:jc m:val="center"/>
        </m:oMathParaPr>
        <m:oMath>
          <m:r>
            <m:rPr/>
            <w:rPr>
              <w:rFonts w:hint="eastAsia" w:ascii="Cambria Math" w:hAnsi="Cambria Math" w:eastAsia="仿宋" w:cs="Times New Roman"/>
              <w:color w:val="000000" w:themeColor="text1"/>
              <w:sz w:val="22"/>
              <w:szCs w:val="40"/>
              <w:lang w:val="en-US" w:eastAsia="zh-CN"/>
              <w14:textFill>
                <w14:solidFill>
                  <w14:schemeClr w14:val="tx1"/>
                </w14:solidFill>
              </w14:textFill>
            </w:rPr>
            <m:t>碳排放</m:t>
          </m:r>
          <m:r>
            <m:rPr/>
            <w:rPr>
              <w:rFonts w:hint="eastAsia" w:ascii="Cambria Math" w:hAnsi="Cambria Math" w:eastAsia="仿宋" w:cs="Times New Roman"/>
              <w:color w:val="000000" w:themeColor="text1"/>
              <w:sz w:val="22"/>
              <w:szCs w:val="40"/>
              <w14:textFill>
                <w14:solidFill>
                  <w14:schemeClr w14:val="tx1"/>
                </w14:solidFill>
              </w14:textFill>
            </w:rPr>
            <m:t>强度（</m:t>
          </m:r>
          <m:r>
            <m:rPr/>
            <w:rPr>
              <w:rFonts w:hint="eastAsia" w:ascii="Cambria Math" w:hAnsi="Cambria Math" w:eastAsia="仿宋" w:cs="Times New Roman"/>
              <w:color w:val="000000" w:themeColor="text1"/>
              <w:sz w:val="22"/>
              <w:szCs w:val="40"/>
              <w:lang w:val="en-US" w:eastAsia="zh-CN"/>
              <w14:textFill>
                <w14:solidFill>
                  <w14:schemeClr w14:val="tx1"/>
                </w14:solidFill>
              </w14:textFill>
            </w:rPr>
            <m:t>二氧化碳排放当</m:t>
          </m:r>
          <m:r>
            <m:rPr/>
            <w:rPr>
              <w:rFonts w:hint="eastAsia" w:ascii="Cambria Math" w:hAnsi="Cambria Math" w:eastAsia="仿宋" w:cs="Times New Roman"/>
              <w:color w:val="000000" w:themeColor="text1"/>
              <w:sz w:val="22"/>
              <w:szCs w:val="40"/>
              <w14:textFill>
                <w14:solidFill>
                  <w14:schemeClr w14:val="tx1"/>
                </w14:solidFill>
              </w14:textFill>
            </w:rPr>
            <m:t>量</m:t>
          </m:r>
          <m:r>
            <m:rPr/>
            <w:rPr>
              <w:rFonts w:ascii="Cambria Math" w:hAnsi="Cambria Math" w:eastAsia="仿宋" w:cs="Times New Roman"/>
              <w:color w:val="000000" w:themeColor="text1"/>
              <w:sz w:val="22"/>
              <w:szCs w:val="40"/>
              <w14:textFill>
                <w14:solidFill>
                  <w14:schemeClr w14:val="tx1"/>
                </w14:solidFill>
              </w14:textFill>
            </w:rPr>
            <m:t>/万元</m:t>
          </m:r>
          <m:r>
            <m:rPr/>
            <w:rPr>
              <w:rFonts w:hint="eastAsia" w:ascii="Cambria Math" w:hAnsi="Cambria Math" w:eastAsia="仿宋" w:cs="Times New Roman"/>
              <w:color w:val="000000" w:themeColor="text1"/>
              <w:sz w:val="22"/>
              <w:szCs w:val="40"/>
              <w14:textFill>
                <w14:solidFill>
                  <w14:schemeClr w14:val="tx1"/>
                </w14:solidFill>
              </w14:textFill>
            </w:rPr>
            <m:t>）=</m:t>
          </m:r>
          <m:f>
            <m:fPr>
              <m:ctrlPr>
                <w:rPr>
                  <w:rFonts w:ascii="Cambria Math" w:hAnsi="Cambria Math" w:eastAsia="仿宋" w:cs="Times New Roman"/>
                  <w:i/>
                  <w:color w:val="000000" w:themeColor="text1"/>
                  <w:sz w:val="22"/>
                  <w:szCs w:val="40"/>
                  <w14:textFill>
                    <w14:solidFill>
                      <w14:schemeClr w14:val="tx1"/>
                    </w14:solidFill>
                  </w14:textFill>
                </w:rPr>
              </m:ctrlPr>
            </m:fPr>
            <m:num>
              <m:r>
                <m:rPr/>
                <w:rPr>
                  <w:rFonts w:hint="eastAsia" w:ascii="Cambria Math" w:hAnsi="Cambria Math" w:eastAsia="仿宋" w:cs="Times New Roman"/>
                  <w:color w:val="000000" w:themeColor="text1"/>
                  <w:sz w:val="22"/>
                  <w:szCs w:val="40"/>
                  <w:lang w:val="en-US" w:eastAsia="zh-CN"/>
                  <w14:textFill>
                    <w14:solidFill>
                      <w14:schemeClr w14:val="tx1"/>
                    </w14:solidFill>
                  </w14:textFill>
                </w:rPr>
                <m:t>年度碳排放总量（吨）</m:t>
              </m:r>
              <m:ctrlPr>
                <w:rPr>
                  <w:rFonts w:ascii="Cambria Math" w:hAnsi="Cambria Math" w:eastAsia="仿宋" w:cs="Times New Roman"/>
                  <w:i/>
                  <w:color w:val="000000" w:themeColor="text1"/>
                  <w:sz w:val="22"/>
                  <w:szCs w:val="40"/>
                  <w14:textFill>
                    <w14:solidFill>
                      <w14:schemeClr w14:val="tx1"/>
                    </w14:solidFill>
                  </w14:textFill>
                </w:rPr>
              </m:ctrlPr>
            </m:num>
            <m:den>
              <m:r>
                <m:rPr/>
                <w:rPr>
                  <w:rFonts w:ascii="Cambria Math" w:hAnsi="Cambria Math" w:eastAsia="仿宋" w:cs="Times New Roman"/>
                  <w:color w:val="000000" w:themeColor="text1"/>
                  <w:sz w:val="22"/>
                  <w:szCs w:val="40"/>
                  <w14:textFill>
                    <w14:solidFill>
                      <w14:schemeClr w14:val="tx1"/>
                    </w14:solidFill>
                  </w14:textFill>
                </w:rPr>
                <m:t>总产值</m:t>
              </m:r>
              <m:r>
                <m:rPr/>
                <w:rPr>
                  <w:rFonts w:hint="eastAsia" w:ascii="Cambria Math" w:hAnsi="Cambria Math" w:eastAsia="仿宋" w:cs="Times New Roman"/>
                  <w:color w:val="000000" w:themeColor="text1"/>
                  <w:sz w:val="22"/>
                  <w:szCs w:val="40"/>
                  <w14:textFill>
                    <w14:solidFill>
                      <w14:schemeClr w14:val="tx1"/>
                    </w14:solidFill>
                  </w14:textFill>
                </w:rPr>
                <m:t>（万元）</m:t>
              </m:r>
              <m:ctrlPr>
                <w:rPr>
                  <w:rFonts w:ascii="Cambria Math" w:hAnsi="Cambria Math" w:eastAsia="仿宋" w:cs="Times New Roman"/>
                  <w:i/>
                  <w:color w:val="000000" w:themeColor="text1"/>
                  <w:sz w:val="22"/>
                  <w:szCs w:val="40"/>
                  <w14:textFill>
                    <w14:solidFill>
                      <w14:schemeClr w14:val="tx1"/>
                    </w14:solidFill>
                  </w14:textFill>
                </w:rPr>
              </m:ctrlPr>
            </m:den>
          </m:f>
        </m:oMath>
      </m:oMathPara>
    </w:p>
    <w:p w14:paraId="10A960D4">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此处，年度碳排放总量只包括范围一温室气体排放和范围二温室气体排放。碳排放总量的核算方法可以采用国家和地方政府公开的方法学或者国际IPCC方法学。碳排放强度行业均值由上一年度碳交易市场核查统计数据计算或者官方组织的碳排放自愿核算制度统计得出，达到所属行业平均水平，得1分，低于行业平均水平比例每提高5%可加1分，最高8分。核算范围三温室气体排放量</w:t>
      </w:r>
      <w:r>
        <w:rPr>
          <w:rFonts w:hint="eastAsia" w:ascii="Times New Roman" w:hAnsi="Times New Roman" w:eastAsia="仿宋" w:cs="Times New Roman"/>
          <w:color w:val="000000" w:themeColor="text1"/>
          <w:sz w:val="28"/>
          <w:szCs w:val="36"/>
          <w:highlight w:val="none"/>
          <w:lang w:val="en-US" w:eastAsia="zh-CN"/>
          <w14:textFill>
            <w14:solidFill>
              <w14:schemeClr w14:val="tx1"/>
            </w14:solidFill>
          </w14:textFill>
        </w:rPr>
        <w:t>，得2分。</w:t>
      </w:r>
    </w:p>
    <w:p w14:paraId="02F2C34D">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3.2 温室气体减排计划</w:t>
      </w:r>
    </w:p>
    <w:p w14:paraId="44277CA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自主制定温室气体减排战略、规划或计划，得1-3分。有明确量化的减排目标和具体的时间节点，得1-2分。有细化的减排措施和行动方案，得1-3分。</w:t>
      </w:r>
    </w:p>
    <w:p w14:paraId="3130C895">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3.3 碳市场举措</w:t>
      </w:r>
    </w:p>
    <w:p w14:paraId="46C7F979">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按要求及时完成国家或地方碳市场履约清缴的，得1分。年度核定排放量少于配额发放量的，得1-2分。参与碳交易二级市场产品开发或CCER、碳普惠产品开发的，得1-2分。</w:t>
      </w:r>
      <w:r>
        <w:rPr>
          <w:rFonts w:hint="eastAsia" w:ascii="Times New Roman" w:hAnsi="Times New Roman" w:eastAsia="仿宋" w:cs="Times New Roman"/>
          <w:b w:val="0"/>
          <w:bCs w:val="0"/>
          <w:i w:val="0"/>
          <w:iCs w:val="0"/>
          <w:caps w:val="0"/>
          <w:color w:val="000000" w:themeColor="text1"/>
          <w:spacing w:val="0"/>
          <w:sz w:val="28"/>
          <w:szCs w:val="36"/>
          <w:highlight w:val="none"/>
          <w:shd w:val="clear" w:fill="auto"/>
          <w:vertAlign w:val="baseline"/>
          <w:lang w:val="en-US" w:eastAsia="zh-CN"/>
          <w14:textFill>
            <w14:solidFill>
              <w14:schemeClr w14:val="tx1"/>
            </w14:solidFill>
          </w14:textFill>
        </w:rPr>
        <w:t>参与全国温室气体自愿减排交易市场的登记与交易</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，得1-2分。</w:t>
      </w:r>
    </w:p>
    <w:p w14:paraId="6211296A">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3.4 碳排放管理</w:t>
      </w:r>
    </w:p>
    <w:p w14:paraId="501BA5A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建立能源计量统计系统的，得1分。建立碳排放统计制度的，得1分。自愿开展碳审计、碳盘查、碳认证的活动的，得1分。</w:t>
      </w:r>
    </w:p>
    <w:p w14:paraId="0E4B74A1">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3.5 气候投融资试点</w:t>
      </w:r>
    </w:p>
    <w:p w14:paraId="5A38AE99">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申报气候投融资试点项目的，得1分。获得气候投融资项目认证的，得1分。开展气候投融资项目绩效披露的，得1分。</w:t>
      </w:r>
    </w:p>
    <w:p w14:paraId="689BEE58">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4.1 清洁生产审核</w:t>
      </w:r>
    </w:p>
    <w:p w14:paraId="618596A1">
      <w:pPr>
        <w:keepNext w:val="0"/>
        <w:keepLines w:val="0"/>
        <w:pageBreakBefore w:val="0"/>
        <w:widowControl/>
        <w:kinsoku w:val="0"/>
        <w:wordWrap/>
        <w:overflowPunct/>
        <w:topLinePunct w:val="0"/>
        <w:autoSpaceDE w:val="0"/>
        <w:autoSpaceDN w:val="0"/>
        <w:bidi w:val="0"/>
        <w:adjustRightInd w:val="0"/>
        <w:snapToGrid w:val="0"/>
        <w:spacing w:before="0" w:beforeLines="50" w:line="312" w:lineRule="auto"/>
        <w:ind w:firstLine="560"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强制性清洁生产审核企业通过审核评估的，得1分；评估分数达到75分及以上，加1分；评估分数达到85分及以上，加2分。按规定无需开展清洁生产审核的，得1分。自愿开展清洁生产审核并通过验收的，得1分，评估分数达85分及以上，加2分。</w:t>
      </w:r>
    </w:p>
    <w:p w14:paraId="0B46090B">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4.2 环境污染责任保险</w:t>
      </w:r>
    </w:p>
    <w:p w14:paraId="3B7C1E1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default"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属于强制投保范围，且保单使用示范性条款的，得1分；不属于强制投保范围，自愿投保环境污染责任险的，得2分。</w:t>
      </w:r>
    </w:p>
    <w:p w14:paraId="11422EAF">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4.3 绿色认证</w:t>
      </w:r>
    </w:p>
    <w:p w14:paraId="1ADAB0B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获得ISO14000、ISO14064等环境管理体系国际认证，或获得全球环境信息研究中心（CDP）评级B级及以上</w:t>
      </w:r>
      <w:r>
        <w:rPr>
          <w:rFonts w:hint="eastAsia" w:ascii="Times New Roman" w:hAnsi="Times New Roman" w:eastAsia="仿宋" w:cs="Times New Roman"/>
          <w:color w:val="000000" w:themeColor="text1"/>
          <w:sz w:val="28"/>
          <w:szCs w:val="36"/>
          <w:highlight w:val="none"/>
          <w:lang w:val="en-US" w:eastAsia="zh-CN"/>
          <w14:textFill>
            <w14:solidFill>
              <w14:schemeClr w14:val="tx1"/>
            </w14:solidFill>
          </w14:textFill>
        </w:rPr>
        <w:t>、明晟（MSCI）评级BBB级及以上、埃科瓦迪斯（EcoVadis）认证铜牌及以上</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或其他同类国际标准，</w:t>
      </w:r>
      <w:r>
        <w:rPr>
          <w:rFonts w:hint="eastAsia" w:ascii="Times New Roman" w:hAnsi="Times New Roman" w:eastAsia="仿宋" w:cs="Times New Roman"/>
          <w:color w:val="000000" w:themeColor="text1"/>
          <w:sz w:val="28"/>
          <w:szCs w:val="36"/>
          <w:highlight w:val="none"/>
          <w:lang w:val="en-US" w:eastAsia="zh-CN"/>
          <w14:textFill>
            <w14:solidFill>
              <w14:schemeClr w14:val="tx1"/>
            </w14:solidFill>
          </w14:textFill>
        </w:rPr>
        <w:t>或者</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通过科学碳目标（SBTi）审核等国际认可，或者国内环保标志类认证的，每获得一项得1分，最高3分。</w:t>
      </w:r>
    </w:p>
    <w:p w14:paraId="6E331485">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4.4 生态环境信用</w:t>
      </w:r>
    </w:p>
    <w:p w14:paraId="5DA528D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12" w:lineRule="auto"/>
        <w:ind w:firstLine="560" w:firstLineChars="200"/>
        <w:jc w:val="both"/>
        <w:textAlignment w:val="baseline"/>
        <w:rPr>
          <w:rFonts w:hint="eastAsia" w:ascii="Times New Roman" w:hAnsi="Times New Roman" w:eastAsia="仿宋" w:cs="Times New Roman"/>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环境信用等级为B的，根据评分情况得1-3分。环境信用等级为A的，得4分。</w:t>
      </w:r>
    </w:p>
    <w:p w14:paraId="5711761D">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4.5 环境绩效自愿披露</w:t>
      </w:r>
    </w:p>
    <w:p w14:paraId="19F6E7EB">
      <w:pPr>
        <w:keepNext w:val="0"/>
        <w:keepLines w:val="0"/>
        <w:pageBreakBefore w:val="0"/>
        <w:widowControl/>
        <w:kinsoku w:val="0"/>
        <w:wordWrap/>
        <w:overflowPunct/>
        <w:topLinePunct w:val="0"/>
        <w:autoSpaceDE w:val="0"/>
        <w:autoSpaceDN w:val="0"/>
        <w:bidi w:val="0"/>
        <w:adjustRightInd w:val="0"/>
        <w:snapToGrid w:val="0"/>
        <w:spacing w:before="313" w:beforeLines="100" w:line="312" w:lineRule="auto"/>
        <w:ind w:firstLine="560" w:firstLineChars="200"/>
        <w:jc w:val="both"/>
        <w:textAlignment w:val="baseline"/>
        <w:rPr>
          <w:rFonts w:hint="eastAsia" w:ascii="Arial" w:hAnsi="Arial" w:eastAsia="宋体" w:cs="Arial"/>
          <w:i w:val="0"/>
          <w:iCs w:val="0"/>
          <w:caps w:val="0"/>
          <w:color w:val="2D2D2D"/>
          <w:spacing w:val="0"/>
          <w:sz w:val="18"/>
          <w:szCs w:val="18"/>
          <w:shd w:val="clear" w:fill="F2F2F2"/>
          <w:lang w:val="en-US" w:eastAsia="zh-CN"/>
        </w:rPr>
      </w:pPr>
      <w:r>
        <w:rPr>
          <w:rFonts w:hint="eastAsia" w:ascii="Times New Roman" w:hAnsi="Times New Roman" w:eastAsia="仿宋" w:cs="Times New Roman"/>
          <w:color w:val="000000" w:themeColor="text1"/>
          <w:sz w:val="28"/>
          <w:szCs w:val="36"/>
          <w:lang w:val="en-US" w:eastAsia="zh-CN"/>
          <w14:textFill>
            <w14:solidFill>
              <w14:schemeClr w14:val="tx1"/>
            </w14:solidFill>
          </w14:textFill>
        </w:rPr>
        <w:t>企业自行编制社会责任报告(CSR)或环境、社会及公司治理报告(ESG)、或可持续发展报告（SDG）的,得1-3分。企业自愿披露绿色环保信息的，得1-3分。披露内容包括：环境战略与管理信息、污染物排放与治理信息、碳排放信息、生态保护和生物多样性信息、资源能源集约利用信息、绿色行动信息。</w:t>
      </w:r>
    </w:p>
    <w:p w14:paraId="6A08792B">
      <w:pPr>
        <w:keepNext w:val="0"/>
        <w:keepLines w:val="0"/>
        <w:pageBreakBefore w:val="0"/>
        <w:widowControl/>
        <w:kinsoku w:val="0"/>
        <w:wordWrap/>
        <w:overflowPunct/>
        <w:topLinePunct w:val="0"/>
        <w:autoSpaceDE/>
        <w:autoSpaceDN/>
        <w:bidi w:val="0"/>
        <w:adjustRightInd w:val="0"/>
        <w:snapToGrid w:val="0"/>
        <w:spacing w:line="312" w:lineRule="auto"/>
        <w:ind w:firstLine="560" w:firstLineChars="200"/>
        <w:jc w:val="both"/>
        <w:textAlignment w:val="baseline"/>
        <w:rPr>
          <w:rFonts w:hint="eastAsia" w:ascii="Times New Roman" w:hAnsi="Times New Roman" w:eastAsia="仿宋" w:cs="Times New Roman"/>
          <w:i w:val="0"/>
          <w:iCs w:val="0"/>
          <w:caps w:val="0"/>
          <w:color w:val="000000" w:themeColor="text1"/>
          <w:spacing w:val="0"/>
          <w:sz w:val="28"/>
          <w:szCs w:val="36"/>
          <w:shd w:val="clear"/>
          <w:lang w:val="en-US" w:eastAsia="zh-CN"/>
          <w14:textFill>
            <w14:solidFill>
              <w14:schemeClr w14:val="tx1"/>
            </w14:solidFill>
          </w14:textFill>
        </w:rPr>
      </w:pPr>
      <w:r>
        <w:rPr>
          <w:rFonts w:hint="eastAsia" w:ascii="Times New Roman" w:hAnsi="Times New Roman" w:eastAsia="仿宋" w:cs="Times New Roman"/>
          <w:i w:val="0"/>
          <w:iCs w:val="0"/>
          <w:caps w:val="0"/>
          <w:color w:val="000000" w:themeColor="text1"/>
          <w:spacing w:val="0"/>
          <w:sz w:val="28"/>
          <w:szCs w:val="36"/>
          <w:shd w:val="clear" w:fill="auto"/>
          <w:lang w:val="en-US" w:eastAsia="zh-CN"/>
          <w14:textFill>
            <w14:solidFill>
              <w14:schemeClr w14:val="tx1"/>
            </w14:solidFill>
          </w14:textFill>
        </w:rPr>
        <w:t>公司建立</w:t>
      </w:r>
      <w:r>
        <w:rPr>
          <w:rFonts w:hint="eastAsia" w:ascii="Times New Roman" w:hAnsi="Times New Roman" w:eastAsia="仿宋" w:cs="Times New Roman"/>
          <w:i w:val="0"/>
          <w:iCs w:val="0"/>
          <w:caps w:val="0"/>
          <w:color w:val="000000" w:themeColor="text1"/>
          <w:spacing w:val="0"/>
          <w:sz w:val="28"/>
          <w:szCs w:val="36"/>
          <w:shd w:val="clear"/>
          <w:lang w:val="en-US" w:eastAsia="zh-CN"/>
          <w14:textFill>
            <w14:solidFill>
              <w14:schemeClr w14:val="tx1"/>
            </w14:solidFill>
          </w14:textFill>
        </w:rPr>
        <w:t>可持续发展治理架构，明确负责管理、监督可持续发展相关影响、风险和机遇的机构以及管理层设置，可得2分；公司选聘具有相关领域背景的专业人士负责可持续发展事项开展，可得1分。</w:t>
      </w:r>
    </w:p>
    <w:p w14:paraId="75547F50">
      <w:pPr>
        <w:keepNext w:val="0"/>
        <w:keepLines w:val="0"/>
        <w:pageBreakBefore w:val="0"/>
        <w:widowControl/>
        <w:kinsoku w:val="0"/>
        <w:wordWrap/>
        <w:overflowPunct/>
        <w:topLinePunct w:val="0"/>
        <w:autoSpaceDE w:val="0"/>
        <w:autoSpaceDN w:val="0"/>
        <w:bidi w:val="0"/>
        <w:adjustRightInd w:val="0"/>
        <w:snapToGrid w:val="0"/>
        <w:spacing w:line="312" w:lineRule="auto"/>
        <w:ind w:firstLine="560" w:firstLineChars="200"/>
        <w:jc w:val="both"/>
        <w:textAlignment w:val="baseline"/>
        <w:rPr>
          <w:rFonts w:hint="eastAsia" w:ascii="Times New Roman" w:hAnsi="Times New Roman" w:eastAsia="仿宋" w:cs="Times New Roman"/>
          <w:i w:val="0"/>
          <w:iCs w:val="0"/>
          <w:caps w:val="0"/>
          <w:color w:val="000000" w:themeColor="text1"/>
          <w:spacing w:val="0"/>
          <w:sz w:val="28"/>
          <w:szCs w:val="36"/>
          <w:highlight w:val="none"/>
          <w:shd w:val="clear"/>
          <w:lang w:val="en-US" w:eastAsia="zh-CN"/>
          <w14:textFill>
            <w14:solidFill>
              <w14:schemeClr w14:val="tx1"/>
            </w14:solidFill>
          </w14:textFill>
        </w:rPr>
      </w:pPr>
      <w:r>
        <w:rPr>
          <w:rFonts w:hint="eastAsia" w:ascii="Times New Roman" w:hAnsi="Times New Roman" w:eastAsia="仿宋" w:cs="Times New Roman"/>
          <w:i w:val="0"/>
          <w:iCs w:val="0"/>
          <w:caps w:val="0"/>
          <w:color w:val="000000" w:themeColor="text1"/>
          <w:spacing w:val="0"/>
          <w:sz w:val="28"/>
          <w:szCs w:val="36"/>
          <w:shd w:val="clear"/>
          <w:lang w:val="en-US" w:eastAsia="zh-CN"/>
          <w14:textFill>
            <w14:solidFill>
              <w14:schemeClr w14:val="tx1"/>
            </w14:solidFill>
          </w14:textFill>
        </w:rPr>
        <w:t>公司制定提升相关人员可持续发展领域专业技能的培训计划、课程的，例如：邀请相关专家对ESG政策进行解读、组织人员参加ESG相关培训及</w:t>
      </w:r>
      <w:r>
        <w:rPr>
          <w:rFonts w:hint="eastAsia" w:ascii="Times New Roman" w:hAnsi="Times New Roman" w:eastAsia="仿宋" w:cs="Times New Roman"/>
          <w:i w:val="0"/>
          <w:iCs w:val="0"/>
          <w:caps w:val="0"/>
          <w:color w:val="000000" w:themeColor="text1"/>
          <w:spacing w:val="0"/>
          <w:sz w:val="28"/>
          <w:szCs w:val="36"/>
          <w:highlight w:val="none"/>
          <w:shd w:val="clear"/>
          <w:lang w:val="en-US" w:eastAsia="zh-CN"/>
          <w14:textFill>
            <w14:solidFill>
              <w14:schemeClr w14:val="tx1"/>
            </w14:solidFill>
          </w14:textFill>
        </w:rPr>
        <w:t>课程等，每参加一次得1分，最高3分。</w:t>
      </w:r>
    </w:p>
    <w:p w14:paraId="5D8EEC60">
      <w:pPr>
        <w:keepNext w:val="0"/>
        <w:keepLines w:val="0"/>
        <w:pageBreakBefore w:val="0"/>
        <w:widowControl/>
        <w:kinsoku w:val="0"/>
        <w:wordWrap/>
        <w:overflowPunct/>
        <w:topLinePunct w:val="0"/>
        <w:autoSpaceDE w:val="0"/>
        <w:autoSpaceDN w:val="0"/>
        <w:bidi w:val="0"/>
        <w:adjustRightInd w:val="0"/>
        <w:snapToGrid w:val="0"/>
        <w:spacing w:before="0" w:beforeLines="50" w:line="600" w:lineRule="exact"/>
        <w:ind w:firstLine="562" w:firstLineChars="200"/>
        <w:jc w:val="both"/>
        <w:textAlignment w:val="baseline"/>
        <w:rPr>
          <w:rFonts w:hint="eastAsia" w:ascii="Times New Roman" w:hAnsi="Times New Roman" w:eastAsia="仿宋" w:cs="Times New Roman"/>
          <w:b/>
          <w:color w:val="000000" w:themeColor="text1"/>
          <w:sz w:val="28"/>
          <w:szCs w:val="36"/>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36"/>
          <w:lang w:val="en-US" w:eastAsia="zh-CN"/>
          <w14:textFill>
            <w14:solidFill>
              <w14:schemeClr w14:val="tx1"/>
            </w14:solidFill>
          </w14:textFill>
        </w:rPr>
        <w:t>4.6 绿色荣誉</w:t>
      </w:r>
    </w:p>
    <w:p w14:paraId="474C37E4">
      <w:pPr>
        <w:widowControl w:val="0"/>
        <w:kinsoku/>
        <w:spacing w:beforeLines="100" w:afterLines="50" w:line="312" w:lineRule="auto"/>
        <w:ind w:firstLine="420" w:firstLineChars="150"/>
        <w:jc w:val="both"/>
        <w:rPr>
          <w:rFonts w:hint="default" w:ascii="方正小标宋_GBK" w:hAnsi="方正小标宋_GBK" w:eastAsia="方正小标宋_GBK" w:cs="方正小标宋_GBK"/>
          <w:b w:val="0"/>
          <w:bCs w:val="0"/>
          <w:color w:val="000000" w:themeColor="text1"/>
          <w:sz w:val="40"/>
          <w:szCs w:val="40"/>
          <w:lang w:val="en-US" w:eastAsia="zh-CN"/>
          <w14:textFill>
            <w14:solidFill>
              <w14:schemeClr w14:val="tx1"/>
            </w14:solidFill>
          </w14:textFill>
        </w:rPr>
        <w:sectPr>
          <w:pgSz w:w="11906" w:h="16838"/>
          <w:pgMar w:top="1440" w:right="1800" w:bottom="1440" w:left="1800" w:header="851" w:footer="992" w:gutter="0"/>
          <w:cols w:space="0" w:num="1"/>
          <w:rtlGutter w:val="0"/>
          <w:docGrid w:type="lines" w:linePitch="312" w:charSpace="0"/>
        </w:sectPr>
      </w:pPr>
      <w:r>
        <w:rPr>
          <w:rFonts w:hint="default" w:ascii="Times New Roman" w:hAnsi="Times New Roman" w:eastAsia="仿宋" w:cs="Times New Roman"/>
          <w:color w:val="000000" w:themeColor="text1"/>
          <w:sz w:val="28"/>
          <w:szCs w:val="36"/>
          <w:lang w:val="en-US" w:eastAsia="zh-CN"/>
          <w14:textFill>
            <w14:solidFill>
              <w14:schemeClr w14:val="tx1"/>
            </w14:solidFill>
          </w14:textFill>
        </w:rPr>
        <w:t>获得工信部“绿色工厂”、“绿色供应链”、“绿色产品”、“行业规范条件企业名单”等称号的；获得国家或地方“水效领跑者”、“能效领跑者”、“环保领跑者”等称号的；入选上海市现代环境治理体系典型案例或</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者试点名单的；入选上海市碳达峰碳中和试点示范创建名单等荣誉的，每获得一项得1分，最高4分。</w:t>
      </w:r>
    </w:p>
    <w:p w14:paraId="56D5B47C">
      <w:pPr>
        <w:rPr>
          <w:rFonts w:hint="default" w:ascii="黑体" w:hAnsi="黑体" w:eastAsia="黑体" w:cs="黑体"/>
          <w:b w:val="0"/>
          <w:color w:val="000000" w:themeColor="text1"/>
          <w:sz w:val="32"/>
          <w:szCs w:val="32"/>
          <w:lang w:val="en-US" w:eastAsia="zh-CN"/>
          <w14:textFill>
            <w14:solidFill>
              <w14:schemeClr w14:val="tx1"/>
            </w14:solidFill>
          </w14:textFill>
        </w:rPr>
      </w:pPr>
      <w:r>
        <w:rPr>
          <w:rFonts w:hint="eastAsia" w:ascii="黑体" w:hAnsi="黑体" w:eastAsia="黑体" w:cs="黑体"/>
          <w:b w:val="0"/>
          <w:color w:val="000000" w:themeColor="text1"/>
          <w:sz w:val="32"/>
          <w:szCs w:val="32"/>
          <w:lang w:val="en-US" w:eastAsia="zh-CN"/>
          <w14:textFill>
            <w14:solidFill>
              <w14:schemeClr w14:val="tx1"/>
            </w14:solidFill>
          </w14:textFill>
        </w:rPr>
        <w:t>附件3</w:t>
      </w:r>
    </w:p>
    <w:p w14:paraId="09A1B260">
      <w:pPr>
        <w:rPr>
          <w:rFonts w:hint="default" w:eastAsia="宋体"/>
          <w:lang w:val="en-US" w:eastAsia="zh-CN"/>
        </w:rPr>
      </w:pPr>
    </w:p>
    <w:p w14:paraId="55B2F6A6">
      <w:pPr>
        <w:jc w:val="center"/>
        <w:rPr>
          <w:rFonts w:hint="eastAsia" w:ascii="方正小标宋_GBK" w:hAnsi="方正小标宋_GBK" w:eastAsia="方正小标宋_GBK" w:cs="方正小标宋_GBK"/>
          <w:b w:val="0"/>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color w:val="000000" w:themeColor="text1"/>
          <w:sz w:val="36"/>
          <w:szCs w:val="36"/>
          <w:lang w:val="en-US" w:eastAsia="zh-CN"/>
          <w14:textFill>
            <w14:solidFill>
              <w14:schemeClr w14:val="tx1"/>
            </w14:solidFill>
          </w14:textFill>
        </w:rPr>
        <w:t>术语定义</w:t>
      </w:r>
    </w:p>
    <w:p w14:paraId="230D6AE9">
      <w:pPr>
        <w:ind w:firstLine="0" w:firstLineChars="0"/>
        <w:rPr>
          <w:rFonts w:hint="eastAsia" w:eastAsia="宋体"/>
          <w:lang w:val="en-US" w:eastAsia="zh-CN"/>
        </w:rPr>
      </w:pPr>
    </w:p>
    <w:p w14:paraId="5817857A">
      <w:pPr>
        <w:spacing w:beforeLines="100" w:afterLines="50" w:line="312" w:lineRule="auto"/>
        <w:ind w:firstLine="560" w:firstLineChars="200"/>
        <w:jc w:val="both"/>
        <w:rPr>
          <w:rFonts w:hint="eastAsia" w:ascii="Times New Roman" w:hAnsi="Times New Roman" w:eastAsia="仿宋" w:cs="Times New Roman"/>
          <w:color w:val="000000" w:themeColor="text1"/>
          <w:sz w:val="28"/>
          <w:szCs w:val="36"/>
          <w14:textFill>
            <w14:solidFill>
              <w14:schemeClr w14:val="tx1"/>
            </w14:solidFill>
          </w14:textFill>
        </w:rPr>
      </w:pPr>
      <w:r>
        <w:rPr>
          <w:rFonts w:hint="eastAsia" w:ascii="Times New Roman" w:hAnsi="Times New Roman" w:eastAsia="仿宋" w:cs="Times New Roman"/>
          <w:color w:val="000000" w:themeColor="text1"/>
          <w:sz w:val="28"/>
          <w:szCs w:val="36"/>
          <w14:textFill>
            <w14:solidFill>
              <w14:schemeClr w14:val="tx1"/>
            </w14:solidFill>
          </w14:textFill>
        </w:rPr>
        <w:t>本附录是《企业环境绩效评价</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通则</w:t>
      </w:r>
      <w:r>
        <w:rPr>
          <w:rFonts w:hint="eastAsia" w:ascii="Times New Roman" w:hAnsi="Times New Roman" w:eastAsia="仿宋" w:cs="Times New Roman"/>
          <w:b w:val="0"/>
          <w:bCs w:val="0"/>
          <w:color w:val="000000" w:themeColor="text1"/>
          <w:sz w:val="28"/>
          <w:szCs w:val="36"/>
          <w:lang w:val="en-US" w:eastAsia="zh-CN"/>
          <w14:textFill>
            <w14:solidFill>
              <w14:schemeClr w14:val="tx1"/>
            </w14:solidFill>
          </w14:textFill>
        </w:rPr>
        <w:t>（修订）</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w:t>
      </w:r>
      <w:r>
        <w:rPr>
          <w:rFonts w:hint="eastAsia" w:ascii="Times New Roman" w:hAnsi="Times New Roman" w:eastAsia="仿宋" w:cs="Times New Roman"/>
          <w:color w:val="000000" w:themeColor="text1"/>
          <w:sz w:val="28"/>
          <w:szCs w:val="36"/>
          <w14:textFill>
            <w14:solidFill>
              <w14:schemeClr w14:val="tx1"/>
            </w14:solidFill>
          </w14:textFill>
        </w:rPr>
        <w:t>的组成部分，与本</w:t>
      </w:r>
      <w:r>
        <w:rPr>
          <w:rFonts w:hint="eastAsia" w:ascii="Times New Roman" w:hAnsi="Times New Roman" w:eastAsia="仿宋" w:cs="Times New Roman"/>
          <w:color w:val="000000" w:themeColor="text1"/>
          <w:sz w:val="28"/>
          <w:szCs w:val="36"/>
          <w:lang w:val="en-US" w:eastAsia="zh-CN"/>
          <w14:textFill>
            <w14:solidFill>
              <w14:schemeClr w14:val="tx1"/>
            </w14:solidFill>
          </w14:textFill>
        </w:rPr>
        <w:t>通则</w:t>
      </w:r>
      <w:r>
        <w:rPr>
          <w:rFonts w:hint="eastAsia" w:ascii="Times New Roman" w:hAnsi="Times New Roman" w:eastAsia="仿宋" w:cs="Times New Roman"/>
          <w:color w:val="000000" w:themeColor="text1"/>
          <w:sz w:val="28"/>
          <w:szCs w:val="36"/>
          <w14:textFill>
            <w14:solidFill>
              <w14:schemeClr w14:val="tx1"/>
            </w14:solidFill>
          </w14:textFill>
        </w:rPr>
        <w:t>其他部分具有同等效力。</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7094"/>
      </w:tblGrid>
      <w:tr w14:paraId="2620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35BA0862">
            <w:pPr>
              <w:widowControl w:val="0"/>
              <w:kinsoku/>
              <w:autoSpaceDE/>
              <w:autoSpaceDN/>
              <w:spacing w:beforeLines="0" w:afterLines="0" w:line="312" w:lineRule="auto"/>
              <w:ind w:firstLine="0" w:firstLineChars="0"/>
              <w:jc w:val="center"/>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无废细胞</w:t>
            </w:r>
          </w:p>
        </w:tc>
        <w:tc>
          <w:tcPr>
            <w:tcW w:w="7094" w:type="dxa"/>
          </w:tcPr>
          <w:p w14:paraId="17832ECC">
            <w:pPr>
              <w:widowControl w:val="0"/>
              <w:kinsoku/>
              <w:autoSpaceDE/>
              <w:autoSpaceDN/>
              <w:spacing w:beforeLines="0" w:afterLines="0" w:line="312" w:lineRule="auto"/>
              <w:ind w:firstLine="0" w:firstLineChars="0"/>
              <w:jc w:val="both"/>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i w:val="0"/>
                <w:iCs w:val="0"/>
                <w:caps w:val="0"/>
                <w:color w:val="000000" w:themeColor="text1"/>
                <w:spacing w:val="0"/>
                <w:sz w:val="24"/>
                <w:szCs w:val="24"/>
                <w14:textFill>
                  <w14:solidFill>
                    <w14:schemeClr w14:val="tx1"/>
                  </w14:solidFill>
                </w14:textFill>
              </w:rPr>
              <w:t>“无废细胞”是指在固体废物源头减量、资源化利用和无害化处置等工作绩效突出的社会生产生活各类组成单元，包括但不限于机关、工厂、工业园区、企业集团、社区、校园、商场、餐馆、酒店、景区、医院等。相关领域“无废细胞”建设市级评估细则由上海市“无废城市”建设各市级成员单位牵头制定，并由市生态文明建设领导小组办公室统一发布。</w:t>
            </w:r>
          </w:p>
        </w:tc>
      </w:tr>
      <w:tr w14:paraId="11A7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6EB36C0D">
            <w:pPr>
              <w:widowControl w:val="0"/>
              <w:kinsoku/>
              <w:autoSpaceDE/>
              <w:autoSpaceDN/>
              <w:spacing w:beforeLines="0" w:afterLines="0" w:line="312" w:lineRule="auto"/>
              <w:ind w:firstLine="0" w:firstLineChars="0"/>
              <w:jc w:val="center"/>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生境花园</w:t>
            </w:r>
          </w:p>
        </w:tc>
        <w:tc>
          <w:tcPr>
            <w:tcW w:w="7094" w:type="dxa"/>
          </w:tcPr>
          <w:p w14:paraId="4FDF8B27">
            <w:pPr>
              <w:widowControl w:val="0"/>
              <w:kinsoku/>
              <w:autoSpaceDE/>
              <w:autoSpaceDN/>
              <w:spacing w:beforeLines="0" w:afterLines="0" w:line="312" w:lineRule="auto"/>
              <w:ind w:firstLine="0" w:firstLineChars="0"/>
              <w:jc w:val="both"/>
              <w:rPr>
                <w:rFonts w:hint="eastAsia" w:ascii="Times New Roman" w:hAnsi="Times New Roman" w:eastAsia="仿宋" w:cs="Times New Roman"/>
                <w:i w:val="0"/>
                <w:iCs w:val="0"/>
                <w:caps w:val="0"/>
                <w:color w:val="000000" w:themeColor="text1"/>
                <w:spacing w:val="0"/>
                <w:sz w:val="24"/>
                <w:szCs w:val="24"/>
                <w:lang w:val="en-US" w:eastAsia="zh-CN"/>
                <w14:textFill>
                  <w14:solidFill>
                    <w14:schemeClr w14:val="tx1"/>
                  </w14:solidFill>
                </w14:textFill>
              </w:rPr>
            </w:pPr>
            <w:r>
              <w:rPr>
                <w:rFonts w:hint="eastAsia" w:ascii="Times New Roman" w:hAnsi="Times New Roman" w:eastAsia="仿宋" w:cs="Times New Roman"/>
                <w:i w:val="0"/>
                <w:iCs w:val="0"/>
                <w:caps w:val="0"/>
                <w:color w:val="000000" w:themeColor="text1"/>
                <w:spacing w:val="0"/>
                <w:sz w:val="24"/>
                <w:szCs w:val="24"/>
                <w:lang w:val="en-US" w:eastAsia="zh-CN"/>
                <w14:textFill>
                  <w14:solidFill>
                    <w14:schemeClr w14:val="tx1"/>
                  </w14:solidFill>
                </w14:textFill>
              </w:rPr>
              <w:t>是将“生境”和“花园”融合在一起的、具有栖息地功能的绿地空间，既能为野生动物提供食源、水源和庇护所等生存要素，又具有观赏休憩、绿色碳汇、雨水调蓄、自然教育、健康疗愈功能。</w:t>
            </w:r>
          </w:p>
        </w:tc>
      </w:tr>
      <w:tr w14:paraId="65C2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0040241B">
            <w:pPr>
              <w:widowControl w:val="0"/>
              <w:kinsoku/>
              <w:autoSpaceDE/>
              <w:autoSpaceDN/>
              <w:spacing w:beforeLines="0" w:afterLines="0" w:line="312" w:lineRule="auto"/>
              <w:ind w:firstLine="0" w:firstLineChars="0"/>
              <w:jc w:val="center"/>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温室气体</w:t>
            </w:r>
          </w:p>
        </w:tc>
        <w:tc>
          <w:tcPr>
            <w:tcW w:w="7094" w:type="dxa"/>
            <w:vAlign w:val="center"/>
          </w:tcPr>
          <w:p w14:paraId="3374B25F">
            <w:pPr>
              <w:widowControl w:val="0"/>
              <w:kinsoku/>
              <w:autoSpaceDE/>
              <w:autoSpaceDN/>
              <w:spacing w:beforeLines="0" w:afterLines="0" w:line="312" w:lineRule="auto"/>
              <w:ind w:firstLine="0" w:firstLineChars="0"/>
              <w:jc w:val="both"/>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指《京都议定书》列明的7种温室气体，包括二氧化碳（CO</w:t>
            </w:r>
            <w:r>
              <w:rPr>
                <w:rFonts w:hint="eastAsia" w:ascii="Times New Roman" w:hAnsi="Times New Roman" w:eastAsia="仿宋" w:cs="Times New Roman"/>
                <w:color w:val="000000" w:themeColor="text1"/>
                <w:sz w:val="24"/>
                <w:szCs w:val="24"/>
                <w:vertAlign w:val="subscript"/>
                <w14:textFill>
                  <w14:solidFill>
                    <w14:schemeClr w14:val="tx1"/>
                  </w14:solidFill>
                </w14:textFill>
              </w:rPr>
              <w:t>2</w:t>
            </w:r>
            <w:r>
              <w:rPr>
                <w:rFonts w:hint="eastAsia" w:ascii="Times New Roman" w:hAnsi="Times New Roman" w:eastAsia="仿宋" w:cs="Times New Roman"/>
                <w:color w:val="000000" w:themeColor="text1"/>
                <w:sz w:val="24"/>
                <w:szCs w:val="24"/>
                <w14:textFill>
                  <w14:solidFill>
                    <w14:schemeClr w14:val="tx1"/>
                  </w14:solidFill>
                </w14:textFill>
              </w:rPr>
              <w:t>）、 甲烷（CH</w:t>
            </w:r>
            <w:r>
              <w:rPr>
                <w:rFonts w:hint="eastAsia" w:ascii="Times New Roman" w:hAnsi="Times New Roman" w:eastAsia="仿宋" w:cs="Times New Roman"/>
                <w:color w:val="000000" w:themeColor="text1"/>
                <w:sz w:val="24"/>
                <w:szCs w:val="24"/>
                <w:vertAlign w:val="subscript"/>
                <w14:textFill>
                  <w14:solidFill>
                    <w14:schemeClr w14:val="tx1"/>
                  </w14:solidFill>
                </w14:textFill>
              </w:rPr>
              <w:t>4</w:t>
            </w:r>
            <w:r>
              <w:rPr>
                <w:rFonts w:hint="eastAsia" w:ascii="Times New Roman" w:hAnsi="Times New Roman" w:eastAsia="仿宋" w:cs="Times New Roman"/>
                <w:color w:val="000000" w:themeColor="text1"/>
                <w:sz w:val="24"/>
                <w:szCs w:val="24"/>
                <w14:textFill>
                  <w14:solidFill>
                    <w14:schemeClr w14:val="tx1"/>
                  </w14:solidFill>
                </w14:textFill>
              </w:rPr>
              <w:t>）、氧化亚氮（N</w:t>
            </w:r>
            <w:r>
              <w:rPr>
                <w:rFonts w:hint="eastAsia" w:ascii="Times New Roman" w:hAnsi="Times New Roman" w:eastAsia="仿宋" w:cs="Times New Roman"/>
                <w:color w:val="000000" w:themeColor="text1"/>
                <w:sz w:val="24"/>
                <w:szCs w:val="24"/>
                <w:vertAlign w:val="subscript"/>
                <w14:textFill>
                  <w14:solidFill>
                    <w14:schemeClr w14:val="tx1"/>
                  </w14:solidFill>
                </w14:textFill>
              </w:rPr>
              <w:t>2</w:t>
            </w:r>
            <w:r>
              <w:rPr>
                <w:rFonts w:hint="eastAsia" w:ascii="Times New Roman" w:hAnsi="Times New Roman" w:eastAsia="仿宋" w:cs="Times New Roman"/>
                <w:color w:val="000000" w:themeColor="text1"/>
                <w:sz w:val="24"/>
                <w:szCs w:val="24"/>
                <w14:textFill>
                  <w14:solidFill>
                    <w14:schemeClr w14:val="tx1"/>
                  </w14:solidFill>
                </w14:textFill>
              </w:rPr>
              <w:t>O）、氢氟碳化物（HFCs）、全氟 化碳（PFCs）、六氟化硫（SF</w:t>
            </w:r>
            <w:r>
              <w:rPr>
                <w:rFonts w:hint="eastAsia" w:ascii="Times New Roman" w:hAnsi="Times New Roman" w:eastAsia="仿宋" w:cs="Times New Roman"/>
                <w:color w:val="000000" w:themeColor="text1"/>
                <w:sz w:val="24"/>
                <w:szCs w:val="24"/>
                <w:vertAlign w:val="subscript"/>
                <w14:textFill>
                  <w14:solidFill>
                    <w14:schemeClr w14:val="tx1"/>
                  </w14:solidFill>
                </w14:textFill>
              </w:rPr>
              <w:t>6</w:t>
            </w:r>
            <w:r>
              <w:rPr>
                <w:rFonts w:hint="eastAsia" w:ascii="Times New Roman" w:hAnsi="Times New Roman" w:eastAsia="仿宋" w:cs="Times New Roman"/>
                <w:color w:val="000000" w:themeColor="text1"/>
                <w:sz w:val="24"/>
                <w:szCs w:val="24"/>
                <w14:textFill>
                  <w14:solidFill>
                    <w14:schemeClr w14:val="tx1"/>
                  </w14:solidFill>
                </w14:textFill>
              </w:rPr>
              <w:t>）、三氟化氮（NF</w:t>
            </w:r>
            <w:r>
              <w:rPr>
                <w:rFonts w:hint="eastAsia" w:ascii="Times New Roman" w:hAnsi="Times New Roman" w:eastAsia="仿宋" w:cs="Times New Roman"/>
                <w:color w:val="000000" w:themeColor="text1"/>
                <w:sz w:val="24"/>
                <w:szCs w:val="24"/>
                <w:vertAlign w:val="subscript"/>
                <w14:textFill>
                  <w14:solidFill>
                    <w14:schemeClr w14:val="tx1"/>
                  </w14:solidFill>
                </w14:textFill>
              </w:rPr>
              <w:t>3</w:t>
            </w:r>
            <w:r>
              <w:rPr>
                <w:rFonts w:hint="eastAsia" w:ascii="Times New Roman" w:hAnsi="Times New Roman" w:eastAsia="仿宋" w:cs="Times New Roman"/>
                <w:color w:val="000000" w:themeColor="text1"/>
                <w:sz w:val="24"/>
                <w:szCs w:val="24"/>
                <w14:textFill>
                  <w14:solidFill>
                    <w14:schemeClr w14:val="tx1"/>
                  </w14:solidFill>
                </w14:textFill>
              </w:rPr>
              <w:t>）。</w:t>
            </w:r>
          </w:p>
        </w:tc>
      </w:tr>
      <w:tr w14:paraId="1125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1F1CF732">
            <w:pPr>
              <w:widowControl w:val="0"/>
              <w:kinsoku/>
              <w:autoSpaceDE/>
              <w:autoSpaceDN/>
              <w:spacing w:beforeLines="0" w:afterLines="0" w:line="312" w:lineRule="auto"/>
              <w:ind w:firstLine="0" w:firstLineChars="0"/>
              <w:jc w:val="both"/>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范围一温</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室气体排放</w:t>
            </w:r>
          </w:p>
        </w:tc>
        <w:tc>
          <w:tcPr>
            <w:tcW w:w="7094" w:type="dxa"/>
            <w:vAlign w:val="center"/>
          </w:tcPr>
          <w:p w14:paraId="1D94E1F2">
            <w:pPr>
              <w:widowControl w:val="0"/>
              <w:kinsoku/>
              <w:autoSpaceDE/>
              <w:autoSpaceDN/>
              <w:spacing w:beforeLines="0" w:afterLines="0" w:line="312" w:lineRule="auto"/>
              <w:ind w:firstLine="0" w:firstLineChars="0"/>
              <w:jc w:val="both"/>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指由企业拥有或者控制的排放源所产生的直接温室气体排放。</w:t>
            </w:r>
          </w:p>
        </w:tc>
      </w:tr>
      <w:tr w14:paraId="18C2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23FE8750">
            <w:pPr>
              <w:widowControl w:val="0"/>
              <w:kinsoku/>
              <w:autoSpaceDE/>
              <w:autoSpaceDN/>
              <w:spacing w:beforeLines="0" w:afterLines="0" w:line="312" w:lineRule="auto"/>
              <w:ind w:firstLine="0" w:firstLineChars="0"/>
              <w:jc w:val="both"/>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范围二温室气体排放</w:t>
            </w:r>
          </w:p>
        </w:tc>
        <w:tc>
          <w:tcPr>
            <w:tcW w:w="7094" w:type="dxa"/>
            <w:vAlign w:val="center"/>
          </w:tcPr>
          <w:p w14:paraId="00099023">
            <w:pPr>
              <w:widowControl w:val="0"/>
              <w:kinsoku/>
              <w:autoSpaceDE/>
              <w:autoSpaceDN/>
              <w:spacing w:beforeLines="0" w:afterLines="0" w:line="312" w:lineRule="auto"/>
              <w:ind w:firstLine="0" w:firstLineChars="0"/>
              <w:jc w:val="both"/>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指企业所消耗的外购电力、蒸汽、供暖或者制冷产生的间接温室气体排放。</w:t>
            </w:r>
          </w:p>
        </w:tc>
      </w:tr>
      <w:tr w14:paraId="3315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20E6CC16">
            <w:pPr>
              <w:widowControl w:val="0"/>
              <w:kinsoku/>
              <w:autoSpaceDE/>
              <w:autoSpaceDN/>
              <w:spacing w:beforeLines="0" w:afterLines="0" w:line="312" w:lineRule="auto"/>
              <w:ind w:firstLine="0" w:firstLineChars="0"/>
              <w:jc w:val="both"/>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范围三温室气体排放</w:t>
            </w:r>
          </w:p>
        </w:tc>
        <w:tc>
          <w:tcPr>
            <w:tcW w:w="7094" w:type="dxa"/>
            <w:vAlign w:val="center"/>
          </w:tcPr>
          <w:p w14:paraId="2FC234F1">
            <w:pPr>
              <w:widowControl w:val="0"/>
              <w:kinsoku/>
              <w:autoSpaceDE/>
              <w:autoSpaceDN/>
              <w:spacing w:beforeLines="0" w:afterLines="0" w:line="312" w:lineRule="auto"/>
              <w:ind w:firstLine="0" w:firstLineChars="0"/>
              <w:jc w:val="both"/>
              <w:rPr>
                <w:rFonts w:hint="eastAsia" w:ascii="Times New Roman" w:hAnsi="Times New Roman" w:eastAsia="仿宋"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指企业价值链中发生的间接温室气体排放（不包括在范围二温室气体排放中），包括上游和下游排放，分为下列十五类活动所产生的温室气体排放： 1.购买的商品和服务；2.资本商品；3.燃料和能源相关活动（未包括在范围一和范围二中的部分）；4.上游运输及配送；5.运营中产生的废弃物；6.商务差旅；7.员工通勤；8.上游租赁资产；9.下游运输及配送；10.售出产品的加工；11.售出产品的使用；12.售出产品的报废处理；13.下游租赁资产； 14.特许经营权；15.投资。</w:t>
            </w:r>
          </w:p>
        </w:tc>
      </w:tr>
    </w:tbl>
    <w:p w14:paraId="6C1C09A9">
      <w:pPr>
        <w:rPr>
          <w:rFonts w:hint="default" w:ascii="宋体" w:hAnsi="宋体" w:eastAsia="宋体" w:cs="宋体"/>
          <w:sz w:val="24"/>
          <w:szCs w:val="24"/>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4E9C67-DC6B-44A6-80EC-8D9158A15618}"/>
  </w:font>
  <w:font w:name="黑体">
    <w:panose1 w:val="02010609060101010101"/>
    <w:charset w:val="86"/>
    <w:family w:val="auto"/>
    <w:pitch w:val="default"/>
    <w:sig w:usb0="800002BF" w:usb1="38CF7CFA" w:usb2="00000016" w:usb3="00000000" w:csb0="00040001" w:csb1="00000000"/>
    <w:embedRegular r:id="rId2" w:fontKey="{B6D93F1B-8D77-4014-AD54-774CF44F61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755DEAD-14EE-4406-A42C-B685CB0E9FA8}"/>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4" w:fontKey="{D54EDB8D-89E4-4670-BF3C-7A1A867A4DF7}"/>
  </w:font>
  <w:font w:name="方正仿宋_GB2312">
    <w:altName w:val="仿宋"/>
    <w:panose1 w:val="02000000000000000000"/>
    <w:charset w:val="86"/>
    <w:family w:val="auto"/>
    <w:pitch w:val="default"/>
    <w:sig w:usb0="00000000" w:usb1="00000000" w:usb2="00000012" w:usb3="00000000" w:csb0="00040001" w:csb1="00000000"/>
    <w:embedRegular r:id="rId5" w:fontKey="{E906DF77-02E4-4D87-8D3A-D4B93D697D2E}"/>
  </w:font>
  <w:font w:name="方正仿宋_GB18030">
    <w:panose1 w:val="02000000000000000000"/>
    <w:charset w:val="86"/>
    <w:family w:val="auto"/>
    <w:pitch w:val="default"/>
    <w:sig w:usb0="00000001" w:usb1="08000000" w:usb2="00000000" w:usb3="00000000" w:csb0="00040000" w:csb1="00000000"/>
    <w:embedRegular r:id="rId6" w:fontKey="{432FB810-2B31-4BAF-8E51-EEABCE202553}"/>
  </w:font>
  <w:font w:name="Cambria Math">
    <w:panose1 w:val="02040503050406030204"/>
    <w:charset w:val="00"/>
    <w:family w:val="roman"/>
    <w:pitch w:val="default"/>
    <w:sig w:usb0="E00006FF" w:usb1="420024FF" w:usb2="02000000" w:usb3="00000000" w:csb0="2000019F" w:csb1="00000000"/>
    <w:embedRegular r:id="rId7" w:fontKey="{E9BC343C-ED15-4E18-BF8A-9B0EADBFA0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MDQ2MTJkYjY3NmU1MzE4MDMwOGUwYzVmMDU5MWIifQ=="/>
  </w:docVars>
  <w:rsids>
    <w:rsidRoot w:val="6F761864"/>
    <w:rsid w:val="00695820"/>
    <w:rsid w:val="00CF4E6D"/>
    <w:rsid w:val="018C10AF"/>
    <w:rsid w:val="022C297A"/>
    <w:rsid w:val="02D212D8"/>
    <w:rsid w:val="02D2752A"/>
    <w:rsid w:val="03885E3A"/>
    <w:rsid w:val="05324418"/>
    <w:rsid w:val="0532605E"/>
    <w:rsid w:val="065629FC"/>
    <w:rsid w:val="070677A2"/>
    <w:rsid w:val="0870306D"/>
    <w:rsid w:val="08EA092F"/>
    <w:rsid w:val="090B4FF6"/>
    <w:rsid w:val="09A05CE4"/>
    <w:rsid w:val="0C201CA3"/>
    <w:rsid w:val="0C450D6C"/>
    <w:rsid w:val="0C6D3E1F"/>
    <w:rsid w:val="0CC2557B"/>
    <w:rsid w:val="0D1A118E"/>
    <w:rsid w:val="0D3B0557"/>
    <w:rsid w:val="0E2D399E"/>
    <w:rsid w:val="0F624F21"/>
    <w:rsid w:val="10341ED2"/>
    <w:rsid w:val="11956255"/>
    <w:rsid w:val="122B4561"/>
    <w:rsid w:val="136E44C9"/>
    <w:rsid w:val="15257CE3"/>
    <w:rsid w:val="152F63E2"/>
    <w:rsid w:val="15DC092F"/>
    <w:rsid w:val="15E025E7"/>
    <w:rsid w:val="15FD4466"/>
    <w:rsid w:val="173454C2"/>
    <w:rsid w:val="17372CF8"/>
    <w:rsid w:val="175C7431"/>
    <w:rsid w:val="18E860FA"/>
    <w:rsid w:val="19102702"/>
    <w:rsid w:val="19784AC8"/>
    <w:rsid w:val="1AF776D6"/>
    <w:rsid w:val="1B1F0BD1"/>
    <w:rsid w:val="1BFA010E"/>
    <w:rsid w:val="1C0563DE"/>
    <w:rsid w:val="1F7F53CD"/>
    <w:rsid w:val="20B10327"/>
    <w:rsid w:val="20E406FC"/>
    <w:rsid w:val="21016845"/>
    <w:rsid w:val="21335C66"/>
    <w:rsid w:val="22162C8F"/>
    <w:rsid w:val="228B77CD"/>
    <w:rsid w:val="22CF0F38"/>
    <w:rsid w:val="22F4099F"/>
    <w:rsid w:val="230961F8"/>
    <w:rsid w:val="23FE6F1B"/>
    <w:rsid w:val="2450541A"/>
    <w:rsid w:val="275B252A"/>
    <w:rsid w:val="2810627B"/>
    <w:rsid w:val="284326B1"/>
    <w:rsid w:val="288C7F5C"/>
    <w:rsid w:val="294855A0"/>
    <w:rsid w:val="296517A7"/>
    <w:rsid w:val="2A810D6A"/>
    <w:rsid w:val="2A9270B0"/>
    <w:rsid w:val="2BD9586C"/>
    <w:rsid w:val="2BDA735B"/>
    <w:rsid w:val="2D202ABC"/>
    <w:rsid w:val="2E4B77C6"/>
    <w:rsid w:val="2F7C5FA4"/>
    <w:rsid w:val="2FA21EAE"/>
    <w:rsid w:val="30437425"/>
    <w:rsid w:val="305D382D"/>
    <w:rsid w:val="305F2E47"/>
    <w:rsid w:val="3068048D"/>
    <w:rsid w:val="30D2231F"/>
    <w:rsid w:val="31707D6C"/>
    <w:rsid w:val="31D976E6"/>
    <w:rsid w:val="31FC4D45"/>
    <w:rsid w:val="322A6AFF"/>
    <w:rsid w:val="329E0DCE"/>
    <w:rsid w:val="333948D8"/>
    <w:rsid w:val="33480624"/>
    <w:rsid w:val="33E16D1D"/>
    <w:rsid w:val="345C5AC9"/>
    <w:rsid w:val="34A94F8C"/>
    <w:rsid w:val="35790755"/>
    <w:rsid w:val="37C624B2"/>
    <w:rsid w:val="38434BA9"/>
    <w:rsid w:val="38906504"/>
    <w:rsid w:val="38EB0769"/>
    <w:rsid w:val="38F413BC"/>
    <w:rsid w:val="3A36784F"/>
    <w:rsid w:val="3A376690"/>
    <w:rsid w:val="3AC521AB"/>
    <w:rsid w:val="3BF11EEA"/>
    <w:rsid w:val="3CC91489"/>
    <w:rsid w:val="3E3E5ADA"/>
    <w:rsid w:val="3EF17C05"/>
    <w:rsid w:val="3F596BE1"/>
    <w:rsid w:val="3FCF2D94"/>
    <w:rsid w:val="405D597D"/>
    <w:rsid w:val="40C357E1"/>
    <w:rsid w:val="41CA5CC4"/>
    <w:rsid w:val="433E7706"/>
    <w:rsid w:val="45106243"/>
    <w:rsid w:val="45F84BE4"/>
    <w:rsid w:val="46D15911"/>
    <w:rsid w:val="486A4815"/>
    <w:rsid w:val="489565B3"/>
    <w:rsid w:val="48C844AF"/>
    <w:rsid w:val="49192566"/>
    <w:rsid w:val="493967AB"/>
    <w:rsid w:val="4A7D34F5"/>
    <w:rsid w:val="4A7E5AC7"/>
    <w:rsid w:val="4AF50FC8"/>
    <w:rsid w:val="4B657E77"/>
    <w:rsid w:val="4BF92B38"/>
    <w:rsid w:val="4E4F6D3A"/>
    <w:rsid w:val="4ECE0172"/>
    <w:rsid w:val="4ED41763"/>
    <w:rsid w:val="4FB430CD"/>
    <w:rsid w:val="50FF6189"/>
    <w:rsid w:val="51254AA9"/>
    <w:rsid w:val="51E57444"/>
    <w:rsid w:val="5204158B"/>
    <w:rsid w:val="537E67E9"/>
    <w:rsid w:val="5429314E"/>
    <w:rsid w:val="54F441BF"/>
    <w:rsid w:val="55FA5FB9"/>
    <w:rsid w:val="568630E0"/>
    <w:rsid w:val="568E7EF8"/>
    <w:rsid w:val="56CE2C01"/>
    <w:rsid w:val="56E56EE7"/>
    <w:rsid w:val="585D60C3"/>
    <w:rsid w:val="58C616D2"/>
    <w:rsid w:val="59CB4F0B"/>
    <w:rsid w:val="5A705E1E"/>
    <w:rsid w:val="5B881239"/>
    <w:rsid w:val="5BDC1EEA"/>
    <w:rsid w:val="5C2D73C5"/>
    <w:rsid w:val="5CA82FD5"/>
    <w:rsid w:val="5CD050B5"/>
    <w:rsid w:val="5D162276"/>
    <w:rsid w:val="5D646721"/>
    <w:rsid w:val="5DA91DCB"/>
    <w:rsid w:val="5E46251D"/>
    <w:rsid w:val="5EE47556"/>
    <w:rsid w:val="5EF56684"/>
    <w:rsid w:val="5F045338"/>
    <w:rsid w:val="6017749F"/>
    <w:rsid w:val="60217CC4"/>
    <w:rsid w:val="60F33A68"/>
    <w:rsid w:val="610531C5"/>
    <w:rsid w:val="616C020C"/>
    <w:rsid w:val="63676048"/>
    <w:rsid w:val="637444F9"/>
    <w:rsid w:val="662A0A92"/>
    <w:rsid w:val="66382E1B"/>
    <w:rsid w:val="669D5144"/>
    <w:rsid w:val="67241800"/>
    <w:rsid w:val="67575A37"/>
    <w:rsid w:val="690F3409"/>
    <w:rsid w:val="692549DB"/>
    <w:rsid w:val="69AC18E6"/>
    <w:rsid w:val="69F17F9F"/>
    <w:rsid w:val="6A6A4DA1"/>
    <w:rsid w:val="6AB85EF1"/>
    <w:rsid w:val="6B194C06"/>
    <w:rsid w:val="6CA818F3"/>
    <w:rsid w:val="6D45389E"/>
    <w:rsid w:val="6E4678CD"/>
    <w:rsid w:val="6F44464C"/>
    <w:rsid w:val="6F4F2B52"/>
    <w:rsid w:val="6F761864"/>
    <w:rsid w:val="727644F9"/>
    <w:rsid w:val="731B41FE"/>
    <w:rsid w:val="73A3056D"/>
    <w:rsid w:val="74213FF1"/>
    <w:rsid w:val="745F4DBA"/>
    <w:rsid w:val="75F73002"/>
    <w:rsid w:val="765B39FF"/>
    <w:rsid w:val="78CE3E62"/>
    <w:rsid w:val="794A5D98"/>
    <w:rsid w:val="798B433F"/>
    <w:rsid w:val="79BD1E6F"/>
    <w:rsid w:val="7A48042F"/>
    <w:rsid w:val="7A726169"/>
    <w:rsid w:val="7ABC2824"/>
    <w:rsid w:val="7B2B1E16"/>
    <w:rsid w:val="7BCF36F4"/>
    <w:rsid w:val="7C331468"/>
    <w:rsid w:val="7E167CD3"/>
    <w:rsid w:val="7E30760A"/>
    <w:rsid w:val="7F721649"/>
    <w:rsid w:val="7FD947BF"/>
    <w:rsid w:val="7FF0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link w:val="10"/>
    <w:semiHidden/>
    <w:unhideWhenUsed/>
    <w:qFormat/>
    <w:uiPriority w:val="0"/>
    <w:pPr>
      <w:keepNext/>
      <w:keepLines/>
      <w:spacing w:beforeAutospacing="0" w:afterAutospacing="0" w:line="360" w:lineRule="auto"/>
      <w:ind w:firstLine="0" w:firstLineChars="0"/>
      <w:outlineLvl w:val="3"/>
    </w:pPr>
    <w:rPr>
      <w:rFonts w:ascii="Arial" w:hAnsi="Arial" w:eastAsia="仿宋"/>
      <w:b/>
      <w:sz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customStyle="1" w:styleId="10">
    <w:name w:val="标题 4 字符"/>
    <w:link w:val="3"/>
    <w:qFormat/>
    <w:uiPriority w:val="9"/>
    <w:rPr>
      <w:rFonts w:ascii="Arial" w:hAnsi="Arial" w:eastAsia="仿宋"/>
      <w:b/>
      <w:sz w:val="24"/>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5558</Words>
  <Characters>5838</Characters>
  <Lines>0</Lines>
  <Paragraphs>0</Paragraphs>
  <TotalTime>5</TotalTime>
  <ScaleCrop>false</ScaleCrop>
  <LinksUpToDate>false</LinksUpToDate>
  <CharactersWithSpaces>5865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2024-07-15T03:47:00Z</dcterms:created>
  <dc:creator>mihaa</dc:creator>
  <cp:lastModifiedBy>樱</cp:lastModifiedBy>
  <cp:lastPrinted>2025-10-10T10:27:00Z</cp:lastPrinted>
  <dcterms:modified xsi:type="dcterms:W3CDTF">2026-06-29T03:27:51Z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C77584746A7940C8AD038F21AAEAD88E_13</vt:lpwstr>
  </property>
  <property fmtid="{D5CDD505-2E9C-101B-9397-08002B2CF9AE}" pid="4" name="KSOTemplateDocerSaveRecord">
    <vt:lpwstr>eyJoZGlkIjoiOTUzNzMzY2FiODZmNGVmODhhYzI1NTg4OGU2MjEzNWYiLCJ1c2VySWQiOiI1Mzc2Nzc0NTIifQ==</vt:lpwstr>
  </property>
</Properties>
</file>