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4AF53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1C3F3C7E">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41007E2C">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r>
              <w:rPr>
                <w:rFonts w:ascii="黑体" w:hAnsi="黑体" w:eastAsia="黑体"/>
                <w:sz w:val="21"/>
                <w:szCs w:val="21"/>
              </w:rPr>
              <w:t>13.030.10</w:t>
            </w:r>
          </w:p>
        </w:tc>
      </w:tr>
      <w:tr w14:paraId="1F49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BD8D1EC">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07FA101F">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t>W06</w:t>
            </w:r>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6F6A431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407" w:type="dxa"/>
          </w:tcPr>
          <w:p w14:paraId="55D1DF24">
            <w:pPr>
              <w:pStyle w:val="49"/>
              <w:framePr w:w="0" w:hRule="auto" w:wrap="auto" w:vAnchor="margin" w:hAnchor="text" w:xAlign="left" w:yAlign="inline"/>
              <w:rPr>
                <w:rFonts w:hint="eastAsia" w:ascii="宋体" w:hAnsi="宋体"/>
                <w:sz w:val="28"/>
                <w:szCs w:val="28"/>
              </w:rPr>
            </w:pPr>
            <w:bookmarkStart w:id="1"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2" w:name="c1"/>
            <w:r>
              <w:instrText xml:space="preserve"> FORMTEXT </w:instrText>
            </w:r>
            <w:r>
              <w:fldChar w:fldCharType="separate"/>
            </w:r>
            <w:r>
              <w:t>33</w:t>
            </w:r>
            <w:r>
              <w:fldChar w:fldCharType="end"/>
            </w:r>
            <w:bookmarkEnd w:id="2"/>
          </w:p>
        </w:tc>
      </w:tr>
    </w:tbl>
    <w:p w14:paraId="5A9DA3F9">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3"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长江三角洲区域</w:t>
      </w:r>
      <w:r>
        <w:rPr>
          <w:rFonts w:ascii="黑体" w:eastAsia="黑体"/>
          <w:b w:val="0"/>
          <w:w w:val="100"/>
          <w:sz w:val="48"/>
        </w:rPr>
        <w:fldChar w:fldCharType="end"/>
      </w:r>
      <w:bookmarkEnd w:id="3"/>
      <w:r>
        <w:rPr>
          <w:rFonts w:hint="eastAsia" w:ascii="黑体" w:hAnsi="黑体" w:eastAsia="黑体"/>
          <w:b w:val="0"/>
          <w:bCs w:val="0"/>
          <w:w w:val="100"/>
          <w:sz w:val="48"/>
          <w:szCs w:val="48"/>
        </w:rPr>
        <w:t>地方标准</w:t>
      </w:r>
    </w:p>
    <w:bookmarkEnd w:id="1"/>
    <w:p w14:paraId="264DE231">
      <w:pPr>
        <w:pStyle w:val="195"/>
        <w:framePr w:h="1591" w:hRule="exact"/>
        <w:rPr>
          <w:lang w:val="fr-FR"/>
        </w:rPr>
      </w:pPr>
      <w:r>
        <w:rPr>
          <w:lang w:val="fr-FR"/>
        </w:rPr>
        <w:t>DB 31/T 310XXX—XXXX</w:t>
      </w:r>
    </w:p>
    <w:p w14:paraId="6F6F8DDD">
      <w:pPr>
        <w:pStyle w:val="195"/>
        <w:framePr w:h="1591" w:hRule="exact"/>
        <w:rPr>
          <w:lang w:val="fr-FR"/>
        </w:rPr>
      </w:pPr>
      <w:r>
        <w:rPr>
          <w:lang w:val="fr-FR"/>
        </w:rPr>
        <w:t>DB 32/T 310XXX—XXXX</w:t>
      </w:r>
    </w:p>
    <w:p w14:paraId="3CFA30CA">
      <w:pPr>
        <w:pStyle w:val="195"/>
        <w:framePr w:h="1591" w:hRule="exact"/>
        <w:rPr>
          <w:lang w:val="fr-FR"/>
        </w:rPr>
      </w:pPr>
      <w:r>
        <w:rPr>
          <w:lang w:val="fr-FR"/>
        </w:rPr>
        <w:t>DB 33/T 310XXX—XXXX</w:t>
      </w:r>
    </w:p>
    <w:p w14:paraId="6DA3B0EA">
      <w:pPr>
        <w:pStyle w:val="195"/>
        <w:framePr w:h="1591" w:hRule="exact"/>
        <w:rPr>
          <w:lang w:val="fr-FR"/>
        </w:rPr>
      </w:pPr>
      <w:r>
        <w:rPr>
          <w:lang w:val="fr-FR"/>
        </w:rPr>
        <w:t>DB 34/T 310XXX—XXXX</w:t>
      </w:r>
    </w:p>
    <w:p w14:paraId="143BE02E">
      <w:pPr>
        <w:pStyle w:val="196"/>
        <w:framePr w:h="1591" w:hRule="exact"/>
        <w:rPr>
          <w:rFonts w:hint="eastAsia"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4"/>
    </w:p>
    <w:p w14:paraId="5813F663">
      <w:pPr>
        <w:spacing w:line="240" w:lineRule="auto"/>
        <w:rPr>
          <w:rFonts w:hint="eastAsia" w:ascii="黑体" w:hAnsi="黑体" w:eastAsia="黑体"/>
          <w:kern w:val="0"/>
          <w:sz w:val="10"/>
          <w:szCs w:val="10"/>
        </w:rPr>
      </w:pPr>
    </w:p>
    <w:p w14:paraId="10E01E37">
      <w:pPr>
        <w:pStyle w:val="50"/>
        <w:framePr w:w="9639" w:h="6976" w:hRule="exact" w:hSpace="0" w:vSpace="0" w:wrap="around" w:hAnchor="page" w:y="6408"/>
        <w:jc w:val="center"/>
        <w:rPr>
          <w:rFonts w:hint="eastAsia" w:ascii="黑体" w:hAnsi="黑体" w:eastAsia="黑体"/>
          <w:b w:val="0"/>
          <w:bCs w:val="0"/>
          <w:w w:val="100"/>
        </w:rPr>
      </w:pPr>
    </w:p>
    <w:p w14:paraId="5F1833E8">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5" w:name="CSTD_NAME"/>
      <w:r>
        <w:instrText xml:space="preserve"> FORMTEXT </w:instrText>
      </w:r>
      <w:r>
        <w:fldChar w:fldCharType="separate"/>
      </w:r>
      <w:r>
        <w:rPr>
          <w:rFonts w:hint="eastAsia"/>
        </w:rPr>
        <w:t>废水碳源综合利用管理与技术指南</w:t>
      </w:r>
    </w:p>
    <w:p w14:paraId="00F3ED31">
      <w:pPr>
        <w:pStyle w:val="197"/>
        <w:framePr w:h="6974" w:hRule="exact" w:wrap="around" w:x="1419" w:anchorLock="1"/>
        <w:rPr>
          <w:rFonts w:hint="eastAsia"/>
        </w:rPr>
      </w:pPr>
      <w:r>
        <w:rPr>
          <w:rFonts w:hint="eastAsia"/>
        </w:rPr>
        <w:t>第1部分：管理要求</w:t>
      </w:r>
      <w:r>
        <w:fldChar w:fldCharType="end"/>
      </w:r>
      <w:bookmarkEnd w:id="5"/>
    </w:p>
    <w:p w14:paraId="28DF0FAC">
      <w:pPr>
        <w:framePr w:w="9639" w:h="6974" w:hRule="exact" w:wrap="around" w:vAnchor="page" w:hAnchor="page" w:x="1419" w:y="6408" w:anchorLock="1"/>
        <w:ind w:left="-1418"/>
      </w:pPr>
    </w:p>
    <w:p w14:paraId="44951C36">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6" w:name="ESTD_NAME"/>
      <w:r>
        <w:rPr>
          <w:rFonts w:eastAsia="黑体"/>
          <w:szCs w:val="28"/>
        </w:rPr>
        <w:instrText xml:space="preserve"> FORMTEXT </w:instrText>
      </w:r>
      <w:r>
        <w:rPr>
          <w:rFonts w:eastAsia="黑体"/>
          <w:szCs w:val="28"/>
        </w:rPr>
        <w:fldChar w:fldCharType="separate"/>
      </w:r>
      <w:r>
        <w:rPr>
          <w:rFonts w:hint="eastAsia" w:eastAsia="黑体"/>
          <w:szCs w:val="28"/>
        </w:rPr>
        <w:t>Guidelines for management and technology of comprehensive utilization wastewater as carbon sources</w:t>
      </w:r>
    </w:p>
    <w:p w14:paraId="10690D09">
      <w:pPr>
        <w:pStyle w:val="125"/>
        <w:framePr w:w="9639" w:h="6974" w:hRule="exact" w:wrap="around" w:vAnchor="page" w:hAnchor="page" w:x="1419" w:y="6408" w:anchorLock="1"/>
        <w:textAlignment w:val="bottom"/>
        <w:rPr>
          <w:rFonts w:eastAsia="黑体"/>
          <w:szCs w:val="28"/>
        </w:rPr>
      </w:pPr>
      <w:r>
        <w:rPr>
          <w:rFonts w:hint="eastAsia" w:eastAsia="黑体"/>
          <w:szCs w:val="28"/>
        </w:rPr>
        <w:t>P</w:t>
      </w:r>
      <w:r>
        <w:rPr>
          <w:rFonts w:eastAsia="黑体"/>
          <w:szCs w:val="28"/>
        </w:rPr>
        <w:t>art 1: Management requirements</w:t>
      </w:r>
      <w:r>
        <w:rPr>
          <w:rFonts w:eastAsia="黑体"/>
          <w:szCs w:val="28"/>
        </w:rPr>
        <w:fldChar w:fldCharType="end"/>
      </w:r>
      <w:bookmarkEnd w:id="6"/>
    </w:p>
    <w:p w14:paraId="2925BF31">
      <w:pPr>
        <w:framePr w:w="9639" w:h="6974" w:hRule="exact" w:wrap="around" w:vAnchor="page" w:hAnchor="page" w:x="1419" w:y="6408" w:anchorLock="1"/>
        <w:spacing w:line="760" w:lineRule="exact"/>
        <w:ind w:left="-1418"/>
      </w:pPr>
    </w:p>
    <w:p w14:paraId="28247D60">
      <w:pPr>
        <w:pStyle w:val="125"/>
        <w:framePr w:w="9639" w:h="6974" w:hRule="exact" w:wrap="around" w:vAnchor="page" w:hAnchor="page" w:x="1419" w:y="6408" w:anchorLock="1"/>
        <w:textAlignment w:val="bottom"/>
        <w:rPr>
          <w:rFonts w:eastAsia="黑体"/>
          <w:szCs w:val="28"/>
        </w:rPr>
      </w:pPr>
    </w:p>
    <w:p w14:paraId="1AEAA169">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listEntry w:val="（草案）"/>
            </w:ddList>
          </w:ffData>
        </w:fldChar>
      </w:r>
      <w:bookmarkStart w:id="7" w:name="下拉1"/>
      <w:r>
        <w:rPr>
          <w:sz w:val="24"/>
          <w:szCs w:val="28"/>
        </w:rPr>
        <w:instrText xml:space="preserve"> FORMDROPDOWN </w:instrText>
      </w:r>
      <w:r>
        <w:rPr>
          <w:sz w:val="24"/>
          <w:szCs w:val="28"/>
        </w:rPr>
        <w:fldChar w:fldCharType="separate"/>
      </w:r>
      <w:r>
        <w:rPr>
          <w:sz w:val="24"/>
          <w:szCs w:val="28"/>
        </w:rPr>
        <w:fldChar w:fldCharType="end"/>
      </w:r>
      <w:bookmarkEnd w:id="7"/>
    </w:p>
    <w:p w14:paraId="363EE697">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8"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8"/>
    </w:p>
    <w:p w14:paraId="2620FBD9">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Pr>
          <w:b/>
          <w:sz w:val="21"/>
          <w:szCs w:val="28"/>
        </w:rPr>
        <w:fldChar w:fldCharType="separate"/>
      </w:r>
      <w:r>
        <w:rPr>
          <w:b/>
          <w:sz w:val="21"/>
          <w:szCs w:val="28"/>
        </w:rPr>
        <w:fldChar w:fldCharType="end"/>
      </w:r>
      <w:bookmarkEnd w:id="9"/>
    </w:p>
    <w:p w14:paraId="5A6A6C7A">
      <w:pPr>
        <w:pStyle w:val="193"/>
        <w:framePr w:wrap="around" w:x="1381" w:y="1333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发布</w:t>
      </w:r>
    </w:p>
    <w:p w14:paraId="3FD06A73">
      <w:pPr>
        <w:pStyle w:val="194"/>
        <w:framePr w:wrap="around" w:x="7171" w:y="1333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实施</w:t>
      </w:r>
    </w:p>
    <w:p w14:paraId="6FC8992A">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上海市市场监督管理局</w:t>
      </w:r>
    </w:p>
    <w:p w14:paraId="7DA8D31F">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江苏省市场监督管理局</w:t>
      </w:r>
    </w:p>
    <w:p w14:paraId="50B837A2">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浙江省市场监督管理局</w:t>
      </w:r>
    </w:p>
    <w:p w14:paraId="7B4F1D03">
      <w:pPr>
        <w:pStyle w:val="151"/>
        <w:framePr w:h="1606" w:hRule="exact" w:hSpace="181" w:vSpace="181" w:wrap="around" w:vAnchor="page" w:y="14026"/>
        <w:rPr>
          <w:rFonts w:hint="eastAsia" w:hAnsi="黑体"/>
          <w:spacing w:val="60"/>
          <w:w w:val="100"/>
          <w:sz w:val="28"/>
          <w:szCs w:val="28"/>
        </w:rPr>
      </w:pPr>
      <w:r>
        <w:rPr>
          <w:rFonts w:hint="eastAsia" w:hAnsi="黑体"/>
          <w:spacing w:val="60"/>
          <w:w w:val="100"/>
          <w:sz w:val="28"/>
          <w:szCs w:val="28"/>
        </w:rPr>
        <w:t>安徽省市场监督管理局</w:t>
      </w:r>
    </w:p>
    <w:p w14:paraId="78A59621">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824230</wp:posOffset>
                </wp:positionH>
                <wp:positionV relativeFrom="page">
                  <wp:posOffset>3167380</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9pt;margin-top:249.4pt;height:0pt;width:481.9pt;mso-position-horizontal-relative:page;mso-position-vertical-relative:page;z-index:251659264;mso-width-relative:page;mso-height-relative:page;" filled="f" stroked="t" coordsize="21600,21600" o:allowoverlap="f" o:gfxdata="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6YR7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8776970</wp:posOffset>
                </wp:positionV>
                <wp:extent cx="6119495"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1949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691.1pt;height:0pt;width:481.85pt;mso-position-horizontal-relative:page;mso-position-vertical-relative:page;z-index:251660288;mso-width-relative:page;mso-height-relative:page;" filled="f" stroked="t" coordsize="21600,21600" o:gfxdata="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iLwQPYAAAA&#10;DgEAAA8AAAAAAAAAAQAgAAAAIgAAAGRycy9kb3ducmV2LnhtbFBLAQIUABQAAAAIAIdO4kDMG+ks&#10;5AEAAKoDAAAOAAAAAAAAAAEAIAAAACcBAABkcnMvZTJvRG9jLnhtbFBLBQYAAAAABgAGAFkBAAB9&#10;BQAAAAA=&#10;">
                <v:fill on="f" focussize="0,0"/>
                <v:stroke color="#000000" joinstyle="round"/>
                <v:imagedata o:title=""/>
                <o:lock v:ext="edit" aspectratio="f"/>
                <w10:anchorlock/>
              </v:line>
            </w:pict>
          </mc:Fallback>
        </mc:AlternateContent>
      </w:r>
    </w:p>
    <w:p w14:paraId="5145F04D">
      <w:pPr>
        <w:pStyle w:val="91"/>
        <w:spacing w:after="468"/>
      </w:pPr>
      <w:bookmarkStart w:id="16" w:name="BookMark1"/>
      <w:bookmarkStart w:id="17" w:name="_Toc174998233"/>
      <w:bookmarkStart w:id="18" w:name="_Toc233209927"/>
      <w:r>
        <w:rPr>
          <w:rFonts w:hint="eastAsia"/>
          <w:spacing w:val="320"/>
        </w:rPr>
        <w:t>目</w:t>
      </w:r>
      <w:r>
        <w:rPr>
          <w:rFonts w:hint="eastAsia"/>
        </w:rPr>
        <w:t>次</w:t>
      </w:r>
    </w:p>
    <w:p w14:paraId="5DCB97F9">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w:instrText>
      </w:r>
      <w:r>
        <w:fldChar w:fldCharType="separate"/>
      </w:r>
      <w:r>
        <w:fldChar w:fldCharType="begin"/>
      </w:r>
      <w:r>
        <w:instrText xml:space="preserve"> HYPERLINK \l "_Toc234910749" </w:instrText>
      </w:r>
      <w:r>
        <w:fldChar w:fldCharType="separate"/>
      </w:r>
      <w:r>
        <w:rPr>
          <w:rStyle w:val="32"/>
          <w:rFonts w:hint="eastAsia"/>
        </w:rPr>
        <w:t>前言</w:t>
      </w:r>
      <w:r>
        <w:rPr>
          <w:rFonts w:hint="eastAsia"/>
        </w:rPr>
        <w:tab/>
      </w:r>
      <w:r>
        <w:rPr>
          <w:rFonts w:hint="eastAsia"/>
        </w:rPr>
        <w:fldChar w:fldCharType="begin"/>
      </w:r>
      <w:r>
        <w:rPr>
          <w:rFonts w:hint="eastAsia"/>
        </w:rPr>
        <w:instrText xml:space="preserve"> </w:instrText>
      </w:r>
      <w:r>
        <w:instrText xml:space="preserve">PAGEREF _Toc234910749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669221B1">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"_Toc234910750" </w:instrText>
      </w:r>
      <w:r>
        <w:fldChar w:fldCharType="separate"/>
      </w:r>
      <w:r>
        <w:rPr>
          <w:rStyle w:val="32"/>
          <w:rFonts w:hint="eastAsia"/>
        </w:rPr>
        <w:t>1</w:t>
      </w:r>
      <w:r>
        <w:rPr>
          <w:rStyle w:val="32"/>
        </w:rPr>
        <w:t xml:space="preserve"> </w:t>
      </w:r>
      <w:r>
        <w:rPr>
          <w:rStyle w:val="32"/>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_Toc234910750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F237545">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"_Toc234910751" </w:instrText>
      </w:r>
      <w:r>
        <w:fldChar w:fldCharType="separate"/>
      </w:r>
      <w:r>
        <w:rPr>
          <w:rStyle w:val="32"/>
          <w:rFonts w:hint="eastAsia"/>
        </w:rPr>
        <w:t>2</w:t>
      </w:r>
      <w:r>
        <w:rPr>
          <w:rStyle w:val="32"/>
        </w:rPr>
        <w:t xml:space="preserve"> </w:t>
      </w:r>
      <w:r>
        <w:rPr>
          <w:rStyle w:val="32"/>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_Toc234910751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E56961B">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"_Toc234910752" </w:instrText>
      </w:r>
      <w:r>
        <w:fldChar w:fldCharType="separate"/>
      </w:r>
      <w:r>
        <w:rPr>
          <w:rStyle w:val="32"/>
          <w:rFonts w:hint="eastAsia"/>
        </w:rPr>
        <w:t>3</w:t>
      </w:r>
      <w:r>
        <w:rPr>
          <w:rStyle w:val="32"/>
        </w:rPr>
        <w:t xml:space="preserve"> </w:t>
      </w:r>
      <w:r>
        <w:rPr>
          <w:rStyle w:val="32"/>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_Toc234910752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AC972E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"_Toc234910753" </w:instrText>
      </w:r>
      <w:r>
        <w:fldChar w:fldCharType="separate"/>
      </w:r>
      <w:r>
        <w:rPr>
          <w:rStyle w:val="32"/>
          <w:rFonts w:hint="eastAsia"/>
        </w:rPr>
        <w:t>4</w:t>
      </w:r>
      <w:r>
        <w:rPr>
          <w:rStyle w:val="32"/>
        </w:rPr>
        <w:t xml:space="preserve"> </w:t>
      </w:r>
      <w:r>
        <w:rPr>
          <w:rStyle w:val="32"/>
          <w:rFonts w:hint="eastAsia"/>
        </w:rPr>
        <w:t xml:space="preserve"> 基本原则</w:t>
      </w:r>
      <w:r>
        <w:rPr>
          <w:rFonts w:hint="eastAsia"/>
        </w:rPr>
        <w:tab/>
      </w:r>
      <w:r>
        <w:rPr>
          <w:rFonts w:hint="eastAsia"/>
        </w:rPr>
        <w:fldChar w:fldCharType="begin"/>
      </w:r>
      <w:r>
        <w:rPr>
          <w:rFonts w:hint="eastAsia"/>
        </w:rPr>
        <w:instrText xml:space="preserve"> </w:instrText>
      </w:r>
      <w:r>
        <w:instrText xml:space="preserve">PAGEREF _Toc234910753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5D4B0E98">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"_Toc234910754" </w:instrText>
      </w:r>
      <w:r>
        <w:fldChar w:fldCharType="separate"/>
      </w:r>
      <w:r>
        <w:rPr>
          <w:rStyle w:val="32"/>
          <w:rFonts w:hint="eastAsia"/>
        </w:rPr>
        <w:t>5</w:t>
      </w:r>
      <w:r>
        <w:rPr>
          <w:rStyle w:val="32"/>
        </w:rPr>
        <w:t xml:space="preserve"> </w:t>
      </w:r>
      <w:r>
        <w:rPr>
          <w:rStyle w:val="32"/>
          <w:rFonts w:hint="eastAsia"/>
        </w:rPr>
        <w:t xml:space="preserve"> 工作要求</w:t>
      </w:r>
      <w:r>
        <w:rPr>
          <w:rFonts w:hint="eastAsia"/>
        </w:rPr>
        <w:tab/>
      </w:r>
      <w:r>
        <w:rPr>
          <w:rFonts w:hint="eastAsia"/>
        </w:rPr>
        <w:fldChar w:fldCharType="begin"/>
      </w:r>
      <w:r>
        <w:rPr>
          <w:rFonts w:hint="eastAsia"/>
        </w:rPr>
        <w:instrText xml:space="preserve"> </w:instrText>
      </w:r>
      <w:r>
        <w:instrText xml:space="preserve">PAGEREF _Toc234910754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237BB9E8">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"_Toc234910755" </w:instrText>
      </w:r>
      <w:r>
        <w:fldChar w:fldCharType="separate"/>
      </w:r>
      <w:r>
        <w:rPr>
          <w:rStyle w:val="32"/>
          <w:rFonts w:hint="eastAsia"/>
        </w:rPr>
        <w:t>6</w:t>
      </w:r>
      <w:r>
        <w:rPr>
          <w:rStyle w:val="32"/>
        </w:rPr>
        <w:t xml:space="preserve"> </w:t>
      </w:r>
      <w:r>
        <w:rPr>
          <w:rStyle w:val="32"/>
          <w:rFonts w:hint="eastAsia" w:ascii="Times New Roman"/>
        </w:rPr>
        <w:t xml:space="preserve"> 主要分析内容</w:t>
      </w:r>
      <w:r>
        <w:rPr>
          <w:rFonts w:hint="eastAsia"/>
        </w:rPr>
        <w:tab/>
      </w:r>
      <w:r>
        <w:rPr>
          <w:rFonts w:hint="eastAsia"/>
        </w:rPr>
        <w:fldChar w:fldCharType="begin"/>
      </w:r>
      <w:r>
        <w:rPr>
          <w:rFonts w:hint="eastAsia"/>
        </w:rPr>
        <w:instrText xml:space="preserve"> </w:instrText>
      </w:r>
      <w:r>
        <w:instrText xml:space="preserve">PAGEREF _Toc234910755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5C97C735">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"_Toc234910756" </w:instrText>
      </w:r>
      <w:r>
        <w:fldChar w:fldCharType="separate"/>
      </w:r>
      <w:r>
        <w:rPr>
          <w:rStyle w:val="32"/>
          <w:rFonts w:hint="eastAsia"/>
        </w:rPr>
        <w:t>7</w:t>
      </w:r>
      <w:r>
        <w:rPr>
          <w:rStyle w:val="32"/>
        </w:rPr>
        <w:t xml:space="preserve"> </w:t>
      </w:r>
      <w:r>
        <w:rPr>
          <w:rStyle w:val="32"/>
          <w:rFonts w:hint="eastAsia"/>
        </w:rPr>
        <w:t xml:space="preserve"> 设施设备更新改造</w:t>
      </w:r>
      <w:r>
        <w:rPr>
          <w:rFonts w:hint="eastAsia"/>
        </w:rPr>
        <w:tab/>
      </w:r>
      <w:r>
        <w:rPr>
          <w:rFonts w:hint="eastAsia"/>
        </w:rPr>
        <w:fldChar w:fldCharType="begin"/>
      </w:r>
      <w:r>
        <w:rPr>
          <w:rFonts w:hint="eastAsia"/>
        </w:rPr>
        <w:instrText xml:space="preserve"> </w:instrText>
      </w:r>
      <w:r>
        <w:instrText xml:space="preserve">PAGEREF _Toc234910756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45C2127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"_Toc234910757" </w:instrText>
      </w:r>
      <w:r>
        <w:fldChar w:fldCharType="separate"/>
      </w:r>
      <w:r>
        <w:rPr>
          <w:rStyle w:val="32"/>
          <w:rFonts w:hint="eastAsia"/>
        </w:rPr>
        <w:t>8</w:t>
      </w:r>
      <w:r>
        <w:rPr>
          <w:rStyle w:val="32"/>
        </w:rPr>
        <w:t xml:space="preserve"> </w:t>
      </w:r>
      <w:r>
        <w:rPr>
          <w:rStyle w:val="32"/>
          <w:rFonts w:hint="eastAsia"/>
        </w:rPr>
        <w:t xml:space="preserve"> 协商约定内容要求</w:t>
      </w:r>
      <w:r>
        <w:rPr>
          <w:rFonts w:hint="eastAsia"/>
        </w:rPr>
        <w:tab/>
      </w:r>
      <w:r>
        <w:rPr>
          <w:rFonts w:hint="eastAsia"/>
        </w:rPr>
        <w:fldChar w:fldCharType="begin"/>
      </w:r>
      <w:r>
        <w:rPr>
          <w:rFonts w:hint="eastAsia"/>
        </w:rPr>
        <w:instrText xml:space="preserve"> </w:instrText>
      </w:r>
      <w:r>
        <w:instrText xml:space="preserve">PAGEREF _Toc234910757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414C6E99">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"_Toc234910758" </w:instrText>
      </w:r>
      <w:r>
        <w:fldChar w:fldCharType="separate"/>
      </w:r>
      <w:r>
        <w:rPr>
          <w:rStyle w:val="32"/>
          <w:rFonts w:hint="eastAsia"/>
        </w:rPr>
        <w:t>9</w:t>
      </w:r>
      <w:r>
        <w:rPr>
          <w:rStyle w:val="32"/>
        </w:rPr>
        <w:t xml:space="preserve"> </w:t>
      </w:r>
      <w:r>
        <w:rPr>
          <w:rStyle w:val="32"/>
          <w:rFonts w:hint="eastAsia"/>
        </w:rPr>
        <w:t xml:space="preserve"> 自行监测与台账要求</w:t>
      </w:r>
      <w:r>
        <w:rPr>
          <w:rFonts w:hint="eastAsia"/>
        </w:rPr>
        <w:tab/>
      </w:r>
      <w:r>
        <w:rPr>
          <w:rFonts w:hint="eastAsia"/>
        </w:rPr>
        <w:fldChar w:fldCharType="begin"/>
      </w:r>
      <w:r>
        <w:rPr>
          <w:rFonts w:hint="eastAsia"/>
        </w:rPr>
        <w:instrText xml:space="preserve"> </w:instrText>
      </w:r>
      <w:r>
        <w:instrText xml:space="preserve">PAGEREF _Toc234910758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C3BC2F8">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"_Toc234910759" </w:instrText>
      </w:r>
      <w:r>
        <w:fldChar w:fldCharType="separate"/>
      </w:r>
      <w:r>
        <w:rPr>
          <w:rStyle w:val="32"/>
          <w:rFonts w:hint="eastAsia"/>
        </w:rPr>
        <w:t>10</w:t>
      </w:r>
      <w:r>
        <w:rPr>
          <w:rStyle w:val="32"/>
        </w:rPr>
        <w:t xml:space="preserve"> </w:t>
      </w:r>
      <w:r>
        <w:rPr>
          <w:rStyle w:val="32"/>
          <w:rFonts w:hint="eastAsia"/>
        </w:rPr>
        <w:t xml:space="preserve"> 持续改进</w:t>
      </w:r>
      <w:r>
        <w:rPr>
          <w:rFonts w:hint="eastAsia"/>
        </w:rPr>
        <w:tab/>
      </w:r>
      <w:r>
        <w:rPr>
          <w:rFonts w:hint="eastAsia"/>
        </w:rPr>
        <w:fldChar w:fldCharType="begin"/>
      </w:r>
      <w:r>
        <w:rPr>
          <w:rFonts w:hint="eastAsia"/>
        </w:rPr>
        <w:instrText xml:space="preserve"> </w:instrText>
      </w:r>
      <w:r>
        <w:instrText xml:space="preserve">PAGEREF _Toc234910759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0BB36057">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"_Toc234910760" </w:instrText>
      </w:r>
      <w:r>
        <w:fldChar w:fldCharType="separate"/>
      </w:r>
      <w:r>
        <w:rPr>
          <w:rStyle w:val="32"/>
          <w:rFonts w:hint="eastAsia"/>
        </w:rPr>
        <w:t>附录A（资料性）</w:t>
      </w:r>
      <w:r>
        <w:rPr>
          <w:rStyle w:val="32"/>
        </w:rPr>
        <w:t xml:space="preserve"> </w:t>
      </w:r>
      <w:r>
        <w:rPr>
          <w:rStyle w:val="32"/>
          <w:rFonts w:hint="eastAsia"/>
        </w:rPr>
        <w:t xml:space="preserve"> 自行监测频次要求</w:t>
      </w:r>
      <w:r>
        <w:rPr>
          <w:rFonts w:hint="eastAsia"/>
        </w:rPr>
        <w:tab/>
      </w:r>
      <w:r>
        <w:rPr>
          <w:rFonts w:hint="eastAsia"/>
        </w:rPr>
        <w:fldChar w:fldCharType="begin"/>
      </w:r>
      <w:r>
        <w:rPr>
          <w:rFonts w:hint="eastAsia"/>
        </w:rPr>
        <w:instrText xml:space="preserve"> </w:instrText>
      </w:r>
      <w:r>
        <w:instrText xml:space="preserve">PAGEREF _Toc234910760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7B839E94">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"_Toc234910761" </w:instrText>
      </w:r>
      <w:r>
        <w:fldChar w:fldCharType="separate"/>
      </w:r>
      <w:r>
        <w:rPr>
          <w:rStyle w:val="32"/>
          <w:rFonts w:hint="eastAsia"/>
        </w:rPr>
        <w:t>参考文献</w:t>
      </w:r>
      <w:r>
        <w:rPr>
          <w:rFonts w:hint="eastAsia"/>
        </w:rPr>
        <w:tab/>
      </w:r>
      <w:r>
        <w:rPr>
          <w:rFonts w:hint="eastAsia"/>
        </w:rPr>
        <w:fldChar w:fldCharType="begin"/>
      </w:r>
      <w:r>
        <w:rPr>
          <w:rFonts w:hint="eastAsia"/>
        </w:rPr>
        <w:instrText xml:space="preserve"> </w:instrText>
      </w:r>
      <w:r>
        <w:instrText xml:space="preserve">PAGEREF _Toc234910761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410E9219">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6"/>
    <w:p w14:paraId="2F81F88C">
      <w:pPr>
        <w:pStyle w:val="89"/>
        <w:spacing w:after="468"/>
      </w:pPr>
      <w:bookmarkStart w:id="19" w:name="_Toc234910749"/>
      <w:bookmarkStart w:id="20" w:name="BookMark2"/>
      <w:r>
        <w:rPr>
          <w:spacing w:val="320"/>
        </w:rPr>
        <w:t>前</w:t>
      </w:r>
      <w:r>
        <w:t>言</w:t>
      </w:r>
      <w:bookmarkEnd w:id="17"/>
      <w:bookmarkEnd w:id="18"/>
      <w:bookmarkEnd w:id="19"/>
    </w:p>
    <w:p w14:paraId="18ECF6A8">
      <w:pPr>
        <w:pStyle w:val="56"/>
        <w:ind w:firstLine="420"/>
      </w:pPr>
      <w:r>
        <w:rPr>
          <w:rFonts w:hint="eastAsia"/>
        </w:rPr>
        <w:t>本文件按照GB/T 1.1—2020</w:t>
      </w:r>
      <w:bookmarkStart w:id="21" w:name="_Hlk233128483"/>
      <w:r>
        <w:rPr>
          <w:rFonts w:hint="eastAsia"/>
        </w:rPr>
        <w:t>《标准化工作导则  第1部分：标准化文件的结构和起草规则》</w:t>
      </w:r>
      <w:bookmarkEnd w:id="21"/>
      <w:r>
        <w:rPr>
          <w:rFonts w:hint="eastAsia"/>
        </w:rPr>
        <w:t>的规定起草。</w:t>
      </w:r>
    </w:p>
    <w:p w14:paraId="1652F0FE">
      <w:pPr>
        <w:pStyle w:val="56"/>
        <w:ind w:firstLine="420"/>
      </w:pPr>
      <w:bookmarkStart w:id="22" w:name="_Hlk174985900"/>
      <w:bookmarkStart w:id="23" w:name="_Hlk174985507"/>
      <w:r>
        <w:rPr>
          <w:rFonts w:hint="eastAsia"/>
        </w:rPr>
        <w:t>本文件是《</w:t>
      </w:r>
      <w:r>
        <w:t>废水碳源综合利用管理与技术指南</w:t>
      </w:r>
      <w:r>
        <w:rPr>
          <w:rFonts w:hint="eastAsia"/>
        </w:rPr>
        <w:t>》的第1部分。本文件包括以下部分：</w:t>
      </w:r>
    </w:p>
    <w:p w14:paraId="34880332">
      <w:pPr>
        <w:pStyle w:val="56"/>
        <w:ind w:firstLine="420"/>
      </w:pPr>
      <w:r>
        <w:rPr>
          <w:rFonts w:hint="eastAsia"/>
        </w:rPr>
        <w:t>——第1部分：管理要求；</w:t>
      </w:r>
    </w:p>
    <w:p w14:paraId="289E9D8B">
      <w:pPr>
        <w:pStyle w:val="56"/>
        <w:ind w:firstLine="420"/>
      </w:pPr>
      <w:r>
        <w:rPr>
          <w:rFonts w:hint="eastAsia"/>
        </w:rPr>
        <w:t>——第2部分：评估技术导则；</w:t>
      </w:r>
    </w:p>
    <w:p w14:paraId="04ADCFC6">
      <w:pPr>
        <w:pStyle w:val="56"/>
        <w:ind w:firstLine="420"/>
      </w:pPr>
      <w:r>
        <w:rPr>
          <w:rFonts w:hint="eastAsia"/>
        </w:rPr>
        <w:t>——第3部分：碳减排和经济效益核算方法。</w:t>
      </w:r>
    </w:p>
    <w:bookmarkEnd w:id="22"/>
    <w:p w14:paraId="413E20A4">
      <w:pPr>
        <w:pStyle w:val="56"/>
        <w:ind w:firstLine="420"/>
        <w:rPr>
          <w:rFonts w:hint="eastAsia"/>
        </w:rPr>
      </w:pPr>
      <w:r>
        <w:rPr>
          <w:rFonts w:hint="eastAsia"/>
        </w:rPr>
        <w:t>请注意本标准的某些内容可能涉及专利。本标准的发布机构不承担识别专利的责任。</w:t>
      </w:r>
      <w:bookmarkStart w:id="160" w:name="_GoBack"/>
      <w:bookmarkEnd w:id="160"/>
    </w:p>
    <w:p w14:paraId="02A4DBAB">
      <w:pPr>
        <w:pStyle w:val="56"/>
        <w:ind w:firstLine="420"/>
      </w:pPr>
      <w:r>
        <w:rPr>
          <w:rFonts w:hint="eastAsia"/>
        </w:rPr>
        <w:t>本文件由浙江省生态环境厅、上海市生态环境局、江苏省生态环境厅、安徽省生态环境厅联合提出并组织实施。</w:t>
      </w:r>
    </w:p>
    <w:p w14:paraId="54647192">
      <w:pPr>
        <w:pStyle w:val="56"/>
        <w:ind w:firstLine="420"/>
      </w:pPr>
      <w:r>
        <w:rPr>
          <w:rFonts w:hint="eastAsia"/>
        </w:rPr>
        <w:t>本文件由浙江省环境保护标准化技术委员会、上海市生态环境保护标准化技术委员、江苏省环境管理标准化技术委员会、安徽省生态环境保护标准化技术委员会归口。</w:t>
      </w:r>
    </w:p>
    <w:p w14:paraId="3AC4683C">
      <w:pPr>
        <w:pStyle w:val="56"/>
        <w:ind w:firstLine="420"/>
        <w:rPr>
          <w:rFonts w:hint="default" w:eastAsia="宋体"/>
          <w:lang w:val="en-US" w:eastAsia="zh-CN"/>
        </w:rPr>
      </w:pPr>
      <w:r>
        <w:rPr>
          <w:rFonts w:hint="eastAsia"/>
        </w:rPr>
        <w:t>本文件起草单位：浙江省生态环境科学设计研究院、上海市环境科学研究院、江苏省环境科学研究院、安徽省生态环境科学研究院、中国环境科学研究院、安徽农业大学、嘉兴市生态环境局嘉善分局</w:t>
      </w:r>
      <w:r>
        <w:rPr>
          <w:rFonts w:hint="eastAsia"/>
          <w:lang w:eastAsia="zh-CN"/>
        </w:rPr>
        <w:t>、</w:t>
      </w:r>
      <w:r>
        <w:rPr>
          <w:rFonts w:hint="eastAsia"/>
          <w:lang w:val="en-US" w:eastAsia="zh-CN"/>
        </w:rPr>
        <w:t>浙江大学。</w:t>
      </w:r>
    </w:p>
    <w:p w14:paraId="06BC1BFA">
      <w:pPr>
        <w:pStyle w:val="56"/>
        <w:ind w:firstLine="420"/>
      </w:pPr>
      <w:r>
        <w:rPr>
          <w:rFonts w:hint="eastAsia"/>
        </w:rPr>
        <w:t>本文件主要起草人：</w:t>
      </w:r>
    </w:p>
    <w:bookmarkEnd w:id="23"/>
    <w:p w14:paraId="119C08C5">
      <w:pPr>
        <w:pStyle w:val="56"/>
        <w:ind w:firstLine="420"/>
      </w:pPr>
    </w:p>
    <w:p w14:paraId="7F3B6B86">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0"/>
    <w:p w14:paraId="037D7BA9">
      <w:pPr>
        <w:spacing w:line="20" w:lineRule="exact"/>
        <w:jc w:val="center"/>
        <w:rPr>
          <w:rFonts w:hint="eastAsia" w:ascii="黑体" w:hAnsi="黑体" w:eastAsia="黑体"/>
          <w:sz w:val="32"/>
          <w:szCs w:val="32"/>
        </w:rPr>
      </w:pPr>
      <w:bookmarkStart w:id="24" w:name="BookMark4"/>
    </w:p>
    <w:p w14:paraId="7FFDA5AF">
      <w:pPr>
        <w:spacing w:line="20" w:lineRule="exact"/>
        <w:jc w:val="center"/>
        <w:rPr>
          <w:rFonts w:hint="eastAsia" w:ascii="黑体" w:hAnsi="黑体" w:eastAsia="黑体"/>
          <w:sz w:val="32"/>
          <w:szCs w:val="32"/>
        </w:rPr>
      </w:pPr>
    </w:p>
    <w:sdt>
      <w:sdtPr>
        <w:tag w:val="NEW_STAND_NAME"/>
        <w:id w:val="595910757"/>
        <w:lock w:val="sdtLocked"/>
        <w:placeholder>
          <w:docPart w:val="75C5679BC6BF451393A5635E09692BF8"/>
        </w:placeholder>
      </w:sdtPr>
      <w:sdtContent>
        <w:p w14:paraId="328C6936">
          <w:pPr>
            <w:pStyle w:val="177"/>
            <w:spacing w:before="3" w:beforeLines="1" w:after="3" w:afterLines="1"/>
            <w:rPr>
              <w:rFonts w:hint="eastAsia"/>
            </w:rPr>
          </w:pPr>
          <w:bookmarkStart w:id="25" w:name="NEW_STAND_NAME"/>
          <w:r>
            <w:rPr>
              <w:rFonts w:hint="eastAsia"/>
            </w:rPr>
            <w:t>废水碳源综合利用管理与技术指南</w:t>
          </w:r>
        </w:p>
        <w:p w14:paraId="40CA199E">
          <w:pPr>
            <w:pStyle w:val="177"/>
            <w:spacing w:before="3" w:beforeLines="1" w:after="680"/>
            <w:rPr>
              <w:rFonts w:hint="eastAsia"/>
            </w:rPr>
          </w:pPr>
          <w:r>
            <w:rPr>
              <w:rFonts w:hint="eastAsia"/>
            </w:rPr>
            <w:t>第1部分：管理要求</w:t>
          </w:r>
        </w:p>
      </w:sdtContent>
    </w:sdt>
    <w:bookmarkEnd w:id="25"/>
    <w:p w14:paraId="2445A3BB">
      <w:pPr>
        <w:pStyle w:val="104"/>
        <w:spacing w:before="312" w:after="312"/>
      </w:pPr>
      <w:bookmarkStart w:id="26" w:name="_Toc17233325"/>
      <w:bookmarkStart w:id="27" w:name="_Toc17233333"/>
      <w:bookmarkStart w:id="28" w:name="_Toc24884218"/>
      <w:bookmarkStart w:id="29" w:name="_Toc97191423"/>
      <w:bookmarkStart w:id="30" w:name="_Toc174998234"/>
      <w:bookmarkStart w:id="31" w:name="_Toc24884211"/>
      <w:bookmarkStart w:id="32" w:name="_Toc234910750"/>
      <w:bookmarkStart w:id="33" w:name="_Toc233209928"/>
      <w:bookmarkStart w:id="34" w:name="_Toc26718930"/>
      <w:bookmarkStart w:id="35" w:name="_Toc26648465"/>
      <w:bookmarkStart w:id="36" w:name="_Toc26986771"/>
      <w:bookmarkStart w:id="37" w:name="_Toc26986530"/>
      <w:r>
        <w:rPr>
          <w:rFonts w:hint="eastAsia"/>
        </w:rPr>
        <w:t>范围</w:t>
      </w:r>
      <w:bookmarkEnd w:id="26"/>
      <w:bookmarkEnd w:id="27"/>
      <w:bookmarkEnd w:id="28"/>
      <w:bookmarkEnd w:id="29"/>
      <w:bookmarkEnd w:id="30"/>
      <w:bookmarkEnd w:id="31"/>
      <w:bookmarkEnd w:id="32"/>
      <w:bookmarkEnd w:id="33"/>
      <w:bookmarkEnd w:id="34"/>
      <w:bookmarkEnd w:id="35"/>
      <w:bookmarkEnd w:id="36"/>
      <w:bookmarkEnd w:id="37"/>
    </w:p>
    <w:p w14:paraId="6B53F438">
      <w:pPr>
        <w:pStyle w:val="56"/>
        <w:ind w:firstLine="420"/>
      </w:pPr>
      <w:bookmarkStart w:id="38" w:name="_Toc17233334"/>
      <w:bookmarkStart w:id="39" w:name="_Toc24884219"/>
      <w:bookmarkStart w:id="40" w:name="_Toc17233326"/>
      <w:bookmarkStart w:id="41" w:name="_Toc26648466"/>
      <w:bookmarkStart w:id="42" w:name="_Toc24884212"/>
      <w:r>
        <w:rPr>
          <w:rFonts w:hint="eastAsia"/>
        </w:rPr>
        <w:t>本文件</w:t>
      </w:r>
      <w:bookmarkStart w:id="43" w:name="_Hlk233099506"/>
      <w:r>
        <w:rPr>
          <w:rFonts w:hint="eastAsia"/>
        </w:rPr>
        <w:t>规定了废水碳源综合利用管理要求的基本原则、工作要求、主要分析内容、设施设备更新改造、协商约定内容要求、自行监测与台账要求等。</w:t>
      </w:r>
      <w:bookmarkEnd w:id="43"/>
    </w:p>
    <w:p w14:paraId="0ECD0B52">
      <w:pPr>
        <w:pStyle w:val="56"/>
        <w:ind w:firstLine="420"/>
      </w:pPr>
      <w:r>
        <w:rPr>
          <w:rFonts w:hint="eastAsia"/>
        </w:rPr>
        <w:t>本文件</w:t>
      </w:r>
      <w:bookmarkStart w:id="44" w:name="_Hlk233099535"/>
      <w:r>
        <w:rPr>
          <w:rFonts w:hint="eastAsia"/>
        </w:rPr>
        <w:t>适用于指导和规范</w:t>
      </w:r>
      <w:bookmarkStart w:id="45" w:name="_Hlk234913655"/>
      <w:r>
        <w:rPr>
          <w:rFonts w:hint="eastAsia"/>
        </w:rPr>
        <w:t>废水作为碳源综合利用的管理</w:t>
      </w:r>
      <w:bookmarkEnd w:id="45"/>
      <w:r>
        <w:rPr>
          <w:rFonts w:hint="eastAsia"/>
        </w:rPr>
        <w:t>。</w:t>
      </w:r>
    </w:p>
    <w:p w14:paraId="1EA714E7">
      <w:pPr>
        <w:pStyle w:val="56"/>
        <w:ind w:firstLine="420"/>
      </w:pPr>
      <w:r>
        <w:rPr>
          <w:rFonts w:hint="eastAsia"/>
        </w:rPr>
        <w:t>本文件不适用于含放射性物质的废水。</w:t>
      </w:r>
    </w:p>
    <w:bookmarkEnd w:id="44"/>
    <w:p w14:paraId="0AD99ED7">
      <w:pPr>
        <w:pStyle w:val="104"/>
        <w:spacing w:before="312" w:after="312"/>
      </w:pPr>
      <w:bookmarkStart w:id="46" w:name="_Toc26986531"/>
      <w:bookmarkStart w:id="47" w:name="_Toc26986772"/>
      <w:bookmarkStart w:id="48" w:name="_Toc26718931"/>
      <w:bookmarkStart w:id="49" w:name="_Toc174998235"/>
      <w:bookmarkStart w:id="50" w:name="_Toc97191424"/>
      <w:bookmarkStart w:id="51" w:name="_Toc233209929"/>
      <w:bookmarkStart w:id="52" w:name="_Toc234910751"/>
      <w:r>
        <w:rPr>
          <w:rFonts w:hint="eastAsia"/>
        </w:rPr>
        <w:t>规范性引用文件</w:t>
      </w:r>
      <w:bookmarkEnd w:id="38"/>
      <w:bookmarkEnd w:id="39"/>
      <w:bookmarkEnd w:id="40"/>
      <w:bookmarkEnd w:id="41"/>
      <w:bookmarkEnd w:id="42"/>
      <w:bookmarkEnd w:id="46"/>
      <w:bookmarkEnd w:id="47"/>
      <w:bookmarkEnd w:id="48"/>
      <w:bookmarkEnd w:id="49"/>
      <w:bookmarkEnd w:id="50"/>
      <w:bookmarkEnd w:id="51"/>
      <w:bookmarkEnd w:id="52"/>
    </w:p>
    <w:sdt>
      <w:sdtPr>
        <w:rPr>
          <w:rFonts w:hint="eastAsia"/>
        </w:rPr>
        <w:id w:val="715848253"/>
        <w:placeholder>
          <w:docPart w:val="B4169FE0D2654F23A43AED82098F7FB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59AF4511">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AE04318">
      <w:pPr>
        <w:pStyle w:val="56"/>
        <w:ind w:firstLine="420"/>
      </w:pPr>
      <w:r>
        <w:rPr>
          <w:rFonts w:hint="eastAsia"/>
        </w:rPr>
        <w:t>HJ 819—2017  排污单位自行监测技术指南 总则</w:t>
      </w:r>
    </w:p>
    <w:p w14:paraId="287AA751">
      <w:pPr>
        <w:pStyle w:val="56"/>
        <w:ind w:firstLine="420"/>
      </w:pPr>
      <w:r>
        <w:rPr>
          <w:rFonts w:hint="eastAsia"/>
        </w:rPr>
        <w:t>HJ 944  排污单位环境管理台账及排污许可证执行报告技术规范 总则（试行）</w:t>
      </w:r>
    </w:p>
    <w:p w14:paraId="1467BA97">
      <w:pPr>
        <w:pStyle w:val="56"/>
        <w:ind w:firstLine="420"/>
      </w:pPr>
      <w:r>
        <w:rPr>
          <w:rFonts w:hint="eastAsia"/>
        </w:rPr>
        <w:t>HJ 978  排污许可证申请与核发技术规范 水处理（试行）</w:t>
      </w:r>
    </w:p>
    <w:p w14:paraId="06F28820">
      <w:pPr>
        <w:pStyle w:val="104"/>
        <w:spacing w:before="312" w:after="312"/>
      </w:pPr>
      <w:bookmarkStart w:id="53" w:name="_Toc233209930"/>
      <w:bookmarkStart w:id="54" w:name="_Toc97191425"/>
      <w:bookmarkStart w:id="55" w:name="_Toc174998236"/>
      <w:bookmarkStart w:id="56" w:name="_Toc234910752"/>
      <w:r>
        <w:rPr>
          <w:rFonts w:hint="eastAsia"/>
          <w:szCs w:val="21"/>
        </w:rPr>
        <w:t>术语和定义</w:t>
      </w:r>
      <w:bookmarkEnd w:id="53"/>
      <w:bookmarkEnd w:id="54"/>
      <w:bookmarkEnd w:id="55"/>
      <w:bookmarkEnd w:id="56"/>
    </w:p>
    <w:sdt>
      <w:sdtPr>
        <w:id w:val="-1909835108"/>
        <w:placeholder>
          <w:docPart w:val="8934CFFB69994FB380DD1A27D04433B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215CE9A7">
          <w:pPr>
            <w:pStyle w:val="56"/>
            <w:ind w:firstLine="420"/>
          </w:pPr>
          <w:bookmarkStart w:id="57" w:name="_Toc26986532"/>
          <w:bookmarkEnd w:id="57"/>
          <w:r>
            <w:t>下列术语和定义适用于本文件。</w:t>
          </w:r>
        </w:p>
      </w:sdtContent>
    </w:sdt>
    <w:p w14:paraId="1AA36767">
      <w:pPr>
        <w:pStyle w:val="223"/>
        <w:ind w:left="420" w:hanging="420" w:hangingChars="200"/>
        <w:rPr>
          <w:rFonts w:hint="eastAsia" w:ascii="黑体" w:hAnsi="黑体" w:eastAsia="黑体"/>
        </w:rPr>
      </w:pPr>
      <w:r>
        <w:rPr>
          <w:rFonts w:ascii="黑体" w:hAnsi="黑体" w:eastAsia="黑体"/>
        </w:rPr>
        <w:br w:type="textWrapping"/>
      </w:r>
      <w:r>
        <w:rPr>
          <w:rFonts w:hint="eastAsia" w:ascii="Times New Roman" w:eastAsia="黑体"/>
        </w:rPr>
        <w:t xml:space="preserve">碳源 </w:t>
      </w:r>
      <w:r>
        <w:rPr>
          <w:rFonts w:ascii="Times New Roman" w:eastAsia="黑体"/>
        </w:rPr>
        <w:t xml:space="preserve"> </w:t>
      </w:r>
      <w:r>
        <w:rPr>
          <w:rFonts w:hint="eastAsia" w:ascii="Times New Roman" w:eastAsia="黑体"/>
        </w:rPr>
        <w:t>carbon</w:t>
      </w:r>
      <w:r>
        <w:rPr>
          <w:rFonts w:ascii="Times New Roman" w:eastAsia="黑体"/>
        </w:rPr>
        <w:t xml:space="preserve"> </w:t>
      </w:r>
      <w:r>
        <w:rPr>
          <w:rFonts w:hint="eastAsia" w:ascii="Times New Roman" w:eastAsia="黑体"/>
        </w:rPr>
        <w:t>source</w:t>
      </w:r>
    </w:p>
    <w:p w14:paraId="09C29384">
      <w:pPr>
        <w:widowControl/>
        <w:shd w:val="clear" w:color="000000" w:fill="auto"/>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可为废水、污水生化处理系统的微生物生长代谢提供营养物的含碳化合物。</w:t>
      </w:r>
    </w:p>
    <w:p w14:paraId="08A1F22B">
      <w:pPr>
        <w:widowControl/>
        <w:shd w:val="clear" w:color="000000" w:fill="auto"/>
        <w:autoSpaceDE w:val="0"/>
        <w:autoSpaceDN w:val="0"/>
        <w:adjustRightInd/>
        <w:spacing w:line="240" w:lineRule="auto"/>
        <w:ind w:firstLine="420" w:firstLineChars="200"/>
        <w:rPr>
          <w:rFonts w:hint="eastAsia" w:ascii="宋体" w:hAnsi="宋体"/>
          <w:kern w:val="0"/>
          <w:szCs w:val="20"/>
        </w:rPr>
      </w:pPr>
      <w:r>
        <w:rPr>
          <w:rFonts w:ascii="宋体" w:hAnsi="宋体"/>
          <w:kern w:val="0"/>
          <w:szCs w:val="20"/>
        </w:rPr>
        <w:t>[来源：HG/T 5960</w:t>
      </w:r>
      <w:r>
        <w:rPr>
          <w:rFonts w:hint="eastAsia" w:ascii="宋体" w:hAnsi="宋体"/>
          <w:kern w:val="0"/>
          <w:szCs w:val="20"/>
        </w:rPr>
        <w:t>—</w:t>
      </w:r>
      <w:r>
        <w:rPr>
          <w:rFonts w:ascii="宋体" w:hAnsi="宋体"/>
          <w:kern w:val="0"/>
          <w:szCs w:val="20"/>
        </w:rPr>
        <w:t>2021</w:t>
      </w:r>
      <w:r>
        <w:rPr>
          <w:rFonts w:hint="eastAsia" w:ascii="宋体" w:hAnsi="宋体"/>
          <w:kern w:val="0"/>
          <w:szCs w:val="20"/>
        </w:rPr>
        <w:t>，</w:t>
      </w:r>
      <w:r>
        <w:rPr>
          <w:rFonts w:ascii="宋体" w:hAnsi="宋体"/>
          <w:kern w:val="0"/>
          <w:szCs w:val="20"/>
        </w:rPr>
        <w:t>3.1]</w:t>
      </w:r>
    </w:p>
    <w:p w14:paraId="2CEF6848">
      <w:pPr>
        <w:pStyle w:val="223"/>
        <w:ind w:left="420" w:hanging="420" w:hangingChars="200"/>
        <w:rPr>
          <w:rFonts w:hint="eastAsia" w:ascii="黑体" w:hAnsi="黑体" w:eastAsia="黑体"/>
        </w:rPr>
      </w:pPr>
      <w:r>
        <w:rPr>
          <w:rFonts w:ascii="黑体" w:hAnsi="黑体" w:eastAsia="黑体"/>
        </w:rPr>
        <w:br w:type="textWrapping"/>
      </w:r>
      <w:r>
        <w:rPr>
          <w:rFonts w:ascii="Times New Roman" w:eastAsia="黑体"/>
        </w:rPr>
        <w:t>污水集中处理设施  concentrated wastewater treatment facilities</w:t>
      </w:r>
    </w:p>
    <w:p w14:paraId="77806254">
      <w:pPr>
        <w:widowControl/>
        <w:shd w:val="clear" w:color="000000" w:fill="auto"/>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为两家及两家以上排污单位提供污水处理服务的污水处理设施，包括各种规模和类型的城镇污水集中处理厂、工业集聚区（经济技术开发区、高新技术产业开发区、出口加工区等各类工业园区）污水集中处理厂，以及其他由两家及两家以上排污单位共用的污水处理设施等。</w:t>
      </w:r>
    </w:p>
    <w:p w14:paraId="134917FF">
      <w:pPr>
        <w:widowControl/>
        <w:shd w:val="clear" w:color="000000" w:fill="auto"/>
        <w:autoSpaceDE w:val="0"/>
        <w:autoSpaceDN w:val="0"/>
        <w:adjustRightInd/>
        <w:spacing w:line="240" w:lineRule="auto"/>
        <w:ind w:firstLine="420" w:firstLineChars="200"/>
        <w:rPr>
          <w:rFonts w:hint="eastAsia" w:ascii="宋体" w:hAnsi="宋体"/>
          <w:kern w:val="0"/>
          <w:szCs w:val="20"/>
        </w:rPr>
      </w:pPr>
      <w:bookmarkStart w:id="58" w:name="_Hlk104561973"/>
      <w:r>
        <w:rPr>
          <w:rFonts w:ascii="宋体" w:hAnsi="宋体"/>
          <w:kern w:val="0"/>
          <w:szCs w:val="20"/>
        </w:rPr>
        <w:t>[</w:t>
      </w:r>
      <w:r>
        <w:rPr>
          <w:rFonts w:hint="eastAsia" w:ascii="宋体" w:hAnsi="宋体"/>
          <w:kern w:val="0"/>
          <w:szCs w:val="20"/>
        </w:rPr>
        <w:t>来源：</w:t>
      </w:r>
      <w:r>
        <w:rPr>
          <w:rFonts w:ascii="宋体" w:hAnsi="宋体"/>
          <w:kern w:val="0"/>
          <w:szCs w:val="20"/>
        </w:rPr>
        <w:t xml:space="preserve">HJ </w:t>
      </w:r>
      <w:r>
        <w:rPr>
          <w:rFonts w:hint="eastAsia" w:ascii="宋体" w:hAnsi="宋体"/>
          <w:kern w:val="0"/>
          <w:szCs w:val="20"/>
        </w:rPr>
        <w:t>945.2—</w:t>
      </w:r>
      <w:r>
        <w:rPr>
          <w:rFonts w:ascii="宋体" w:hAnsi="宋体"/>
          <w:kern w:val="0"/>
          <w:szCs w:val="20"/>
        </w:rPr>
        <w:t>201</w:t>
      </w:r>
      <w:r>
        <w:rPr>
          <w:rFonts w:hint="eastAsia" w:ascii="宋体" w:hAnsi="宋体"/>
          <w:kern w:val="0"/>
          <w:szCs w:val="20"/>
        </w:rPr>
        <w:t>8，</w:t>
      </w:r>
      <w:r>
        <w:rPr>
          <w:rFonts w:ascii="宋体" w:hAnsi="宋体"/>
          <w:kern w:val="0"/>
          <w:szCs w:val="20"/>
        </w:rPr>
        <w:t>3.</w:t>
      </w:r>
      <w:r>
        <w:rPr>
          <w:rFonts w:hint="eastAsia" w:ascii="宋体" w:hAnsi="宋体"/>
          <w:kern w:val="0"/>
          <w:szCs w:val="20"/>
        </w:rPr>
        <w:t>6</w:t>
      </w:r>
      <w:r>
        <w:rPr>
          <w:rFonts w:ascii="宋体" w:hAnsi="宋体"/>
          <w:kern w:val="0"/>
          <w:szCs w:val="20"/>
        </w:rPr>
        <w:t>]</w:t>
      </w:r>
      <w:bookmarkEnd w:id="58"/>
    </w:p>
    <w:p w14:paraId="4DCA054B">
      <w:pPr>
        <w:pStyle w:val="223"/>
        <w:ind w:left="420" w:hanging="420" w:hangingChars="200"/>
        <w:rPr>
          <w:rFonts w:hint="eastAsia" w:ascii="黑体" w:hAnsi="黑体" w:eastAsia="黑体"/>
        </w:rPr>
      </w:pPr>
      <w:r>
        <w:rPr>
          <w:rFonts w:ascii="黑体" w:hAnsi="黑体" w:eastAsia="黑体"/>
        </w:rPr>
        <w:br w:type="textWrapping"/>
      </w:r>
      <w:bookmarkStart w:id="59" w:name="_Hlk139790155"/>
      <w:r>
        <w:rPr>
          <w:rFonts w:hint="eastAsia" w:ascii="Times New Roman" w:eastAsia="黑体"/>
        </w:rPr>
        <w:t>城镇污水处理厂</w:t>
      </w:r>
      <w:bookmarkEnd w:id="59"/>
      <w:r>
        <w:rPr>
          <w:rFonts w:hint="eastAsia" w:ascii="Times New Roman" w:eastAsia="黑体"/>
        </w:rPr>
        <w:t xml:space="preserve">  </w:t>
      </w:r>
      <w:r>
        <w:rPr>
          <w:rFonts w:ascii="Times New Roman" w:eastAsia="黑体"/>
        </w:rPr>
        <w:t>municipal wastewater treatment plant</w:t>
      </w:r>
    </w:p>
    <w:p w14:paraId="5A39F62C">
      <w:pPr>
        <w:widowControl/>
        <w:shd w:val="clear" w:color="000000" w:fill="auto"/>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指对进入城镇污水收集系统的污水进行净化处理的污水处理厂。</w:t>
      </w:r>
    </w:p>
    <w:p w14:paraId="7CA5CD59">
      <w:pPr>
        <w:widowControl/>
        <w:shd w:val="clear" w:color="000000" w:fill="auto"/>
        <w:autoSpaceDE w:val="0"/>
        <w:autoSpaceDN w:val="0"/>
        <w:adjustRightInd/>
        <w:spacing w:line="240" w:lineRule="auto"/>
        <w:ind w:firstLine="420" w:firstLineChars="200"/>
        <w:rPr>
          <w:rFonts w:hint="eastAsia" w:ascii="宋体" w:hAnsi="宋体"/>
          <w:kern w:val="0"/>
          <w:szCs w:val="20"/>
        </w:rPr>
      </w:pPr>
      <w:bookmarkStart w:id="60" w:name="_Hlk117243144"/>
      <w:r>
        <w:rPr>
          <w:rFonts w:ascii="宋体" w:hAnsi="宋体"/>
          <w:kern w:val="0"/>
          <w:szCs w:val="20"/>
        </w:rPr>
        <w:t>[</w:t>
      </w:r>
      <w:r>
        <w:rPr>
          <w:rFonts w:hint="eastAsia" w:ascii="宋体" w:hAnsi="宋体"/>
          <w:kern w:val="0"/>
          <w:szCs w:val="20"/>
        </w:rPr>
        <w:t>来源：</w:t>
      </w:r>
      <w:r>
        <w:rPr>
          <w:rFonts w:ascii="宋体" w:hAnsi="宋体"/>
          <w:kern w:val="0"/>
          <w:szCs w:val="20"/>
        </w:rPr>
        <w:t xml:space="preserve">HJ </w:t>
      </w:r>
      <w:r>
        <w:rPr>
          <w:rFonts w:hint="eastAsia" w:ascii="宋体" w:hAnsi="宋体"/>
          <w:kern w:val="0"/>
          <w:szCs w:val="20"/>
        </w:rPr>
        <w:t>978—</w:t>
      </w:r>
      <w:r>
        <w:rPr>
          <w:rFonts w:ascii="宋体" w:hAnsi="宋体"/>
          <w:kern w:val="0"/>
          <w:szCs w:val="20"/>
        </w:rPr>
        <w:t>201</w:t>
      </w:r>
      <w:r>
        <w:rPr>
          <w:rFonts w:hint="eastAsia" w:ascii="宋体" w:hAnsi="宋体"/>
          <w:kern w:val="0"/>
          <w:szCs w:val="20"/>
        </w:rPr>
        <w:t>8，</w:t>
      </w:r>
      <w:r>
        <w:rPr>
          <w:rFonts w:ascii="宋体" w:hAnsi="宋体"/>
          <w:kern w:val="0"/>
          <w:szCs w:val="20"/>
        </w:rPr>
        <w:t>3.</w:t>
      </w:r>
      <w:r>
        <w:rPr>
          <w:rFonts w:hint="eastAsia" w:ascii="宋体" w:hAnsi="宋体"/>
          <w:kern w:val="0"/>
          <w:szCs w:val="20"/>
        </w:rPr>
        <w:t>2</w:t>
      </w:r>
      <w:r>
        <w:rPr>
          <w:rFonts w:ascii="宋体" w:hAnsi="宋体"/>
          <w:kern w:val="0"/>
          <w:szCs w:val="20"/>
        </w:rPr>
        <w:t>]</w:t>
      </w:r>
    </w:p>
    <w:bookmarkEnd w:id="60"/>
    <w:p w14:paraId="14CCDA3A">
      <w:pPr>
        <w:pStyle w:val="223"/>
        <w:ind w:left="420" w:hanging="420" w:hangingChars="200"/>
        <w:rPr>
          <w:rFonts w:hint="eastAsia" w:ascii="黑体" w:hAnsi="黑体" w:eastAsia="黑体"/>
        </w:rPr>
      </w:pPr>
      <w:r>
        <w:rPr>
          <w:rFonts w:ascii="黑体" w:hAnsi="黑体" w:eastAsia="黑体"/>
        </w:rPr>
        <w:br w:type="textWrapping"/>
      </w:r>
      <w:bookmarkStart w:id="61" w:name="_Hlk139790161"/>
      <w:r>
        <w:rPr>
          <w:rFonts w:hint="eastAsia" w:ascii="Times New Roman" w:eastAsia="黑体"/>
        </w:rPr>
        <w:t>工业废水集中处理厂</w:t>
      </w:r>
      <w:bookmarkEnd w:id="61"/>
      <w:r>
        <w:rPr>
          <w:rFonts w:hint="eastAsia" w:ascii="Times New Roman" w:eastAsia="黑体"/>
        </w:rPr>
        <w:t xml:space="preserve"> </w:t>
      </w:r>
      <w:r>
        <w:rPr>
          <w:rFonts w:ascii="Times New Roman" w:eastAsia="黑体"/>
        </w:rPr>
        <w:t xml:space="preserve"> industrial wastewater integrated treatment plant</w:t>
      </w:r>
    </w:p>
    <w:p w14:paraId="11DCABFB">
      <w:pPr>
        <w:widowControl/>
        <w:shd w:val="clear" w:color="000000" w:fill="auto"/>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指除城镇污水处理厂外，专门处理其他单位的工业废水，或为工业园区、开发区等工业集聚区内的排污单位提供污水处理服务并作为工业集聚区配套设施的污水处理厂。</w:t>
      </w:r>
    </w:p>
    <w:p w14:paraId="59BE658B">
      <w:pPr>
        <w:widowControl/>
        <w:shd w:val="clear" w:color="000000" w:fill="auto"/>
        <w:autoSpaceDE w:val="0"/>
        <w:autoSpaceDN w:val="0"/>
        <w:adjustRightInd/>
        <w:spacing w:line="240" w:lineRule="auto"/>
        <w:ind w:firstLine="420" w:firstLineChars="200"/>
        <w:rPr>
          <w:rFonts w:hint="eastAsia" w:ascii="宋体" w:hAnsi="宋体"/>
          <w:kern w:val="0"/>
          <w:szCs w:val="20"/>
        </w:rPr>
      </w:pPr>
      <w:r>
        <w:rPr>
          <w:rFonts w:ascii="宋体" w:hAnsi="宋体"/>
          <w:kern w:val="0"/>
          <w:szCs w:val="20"/>
        </w:rPr>
        <w:t>[</w:t>
      </w:r>
      <w:r>
        <w:rPr>
          <w:rFonts w:hint="eastAsia" w:ascii="宋体" w:hAnsi="宋体"/>
          <w:kern w:val="0"/>
          <w:szCs w:val="20"/>
        </w:rPr>
        <w:t>来源：</w:t>
      </w:r>
      <w:r>
        <w:rPr>
          <w:rFonts w:ascii="宋体" w:hAnsi="宋体"/>
          <w:kern w:val="0"/>
          <w:szCs w:val="20"/>
        </w:rPr>
        <w:t xml:space="preserve">HJ </w:t>
      </w:r>
      <w:r>
        <w:rPr>
          <w:rFonts w:hint="eastAsia" w:ascii="宋体" w:hAnsi="宋体"/>
          <w:kern w:val="0"/>
          <w:szCs w:val="20"/>
        </w:rPr>
        <w:t>978—</w:t>
      </w:r>
      <w:r>
        <w:rPr>
          <w:rFonts w:ascii="宋体" w:hAnsi="宋体"/>
          <w:kern w:val="0"/>
          <w:szCs w:val="20"/>
        </w:rPr>
        <w:t>201</w:t>
      </w:r>
      <w:r>
        <w:rPr>
          <w:rFonts w:hint="eastAsia" w:ascii="宋体" w:hAnsi="宋体"/>
          <w:kern w:val="0"/>
          <w:szCs w:val="20"/>
        </w:rPr>
        <w:t>8，</w:t>
      </w:r>
      <w:r>
        <w:rPr>
          <w:rFonts w:ascii="宋体" w:hAnsi="宋体"/>
          <w:kern w:val="0"/>
          <w:szCs w:val="20"/>
        </w:rPr>
        <w:t>3.4]</w:t>
      </w:r>
    </w:p>
    <w:p w14:paraId="59BF2653">
      <w:pPr>
        <w:pStyle w:val="223"/>
        <w:ind w:left="420" w:hanging="420" w:hangingChars="200"/>
        <w:rPr>
          <w:rFonts w:hint="eastAsia" w:ascii="黑体" w:hAnsi="黑体" w:eastAsia="黑体"/>
        </w:rPr>
      </w:pPr>
      <w:r>
        <w:rPr>
          <w:rFonts w:ascii="黑体" w:hAnsi="黑体" w:eastAsia="黑体"/>
        </w:rPr>
        <w:br w:type="textWrapping"/>
      </w:r>
      <w:r>
        <w:rPr>
          <w:rFonts w:hint="eastAsia" w:ascii="Times New Roman" w:eastAsia="黑体"/>
        </w:rPr>
        <w:t xml:space="preserve">间接排放 </w:t>
      </w:r>
      <w:r>
        <w:rPr>
          <w:rFonts w:ascii="Times New Roman" w:eastAsia="黑体"/>
        </w:rPr>
        <w:t xml:space="preserve"> </w:t>
      </w:r>
      <w:r>
        <w:rPr>
          <w:rFonts w:hint="eastAsia" w:ascii="Times New Roman" w:eastAsia="黑体"/>
        </w:rPr>
        <w:t>indirect discharge</w:t>
      </w:r>
    </w:p>
    <w:p w14:paraId="152E26AE">
      <w:pPr>
        <w:widowControl/>
        <w:shd w:val="clear" w:color="000000" w:fill="auto"/>
        <w:autoSpaceDE w:val="0"/>
        <w:autoSpaceDN w:val="0"/>
        <w:adjustRightInd/>
        <w:spacing w:line="240" w:lineRule="auto"/>
        <w:ind w:firstLine="420" w:firstLineChars="200"/>
        <w:rPr>
          <w:rFonts w:ascii="宋体" w:hAnsi="Times New Roman"/>
          <w:kern w:val="0"/>
          <w:szCs w:val="20"/>
        </w:rPr>
      </w:pPr>
      <w:r>
        <w:rPr>
          <w:rFonts w:hint="eastAsia" w:ascii="宋体" w:hAnsi="Times New Roman"/>
          <w:kern w:val="0"/>
          <w:szCs w:val="20"/>
        </w:rPr>
        <w:t>排污单位向污水集中处理设施排放水污染物的行为。</w:t>
      </w:r>
    </w:p>
    <w:p w14:paraId="268EA399">
      <w:pPr>
        <w:widowControl/>
        <w:shd w:val="clear" w:color="000000" w:fill="auto"/>
        <w:autoSpaceDE w:val="0"/>
        <w:autoSpaceDN w:val="0"/>
        <w:adjustRightInd/>
        <w:spacing w:line="240" w:lineRule="auto"/>
        <w:ind w:firstLine="420" w:firstLineChars="200"/>
        <w:rPr>
          <w:rFonts w:hint="eastAsia" w:ascii="宋体" w:hAnsi="宋体"/>
          <w:kern w:val="0"/>
          <w:szCs w:val="20"/>
        </w:rPr>
      </w:pPr>
      <w:r>
        <w:rPr>
          <w:rFonts w:ascii="宋体" w:hAnsi="宋体"/>
          <w:kern w:val="0"/>
          <w:szCs w:val="20"/>
        </w:rPr>
        <w:t xml:space="preserve">[来源：HJ </w:t>
      </w:r>
      <w:r>
        <w:rPr>
          <w:rFonts w:hint="eastAsia" w:ascii="宋体" w:hAnsi="宋体"/>
          <w:kern w:val="0"/>
          <w:szCs w:val="20"/>
        </w:rPr>
        <w:t>945.2—</w:t>
      </w:r>
      <w:r>
        <w:rPr>
          <w:rFonts w:ascii="宋体" w:hAnsi="宋体"/>
          <w:kern w:val="0"/>
          <w:szCs w:val="20"/>
        </w:rPr>
        <w:t>201</w:t>
      </w:r>
      <w:r>
        <w:rPr>
          <w:rFonts w:hint="eastAsia" w:ascii="宋体" w:hAnsi="宋体"/>
          <w:kern w:val="0"/>
          <w:szCs w:val="20"/>
        </w:rPr>
        <w:t>8，</w:t>
      </w:r>
      <w:r>
        <w:rPr>
          <w:rFonts w:ascii="宋体" w:hAnsi="宋体"/>
          <w:kern w:val="0"/>
          <w:szCs w:val="20"/>
        </w:rPr>
        <w:t>3.</w:t>
      </w:r>
      <w:r>
        <w:rPr>
          <w:rFonts w:hint="eastAsia" w:ascii="宋体" w:hAnsi="宋体"/>
          <w:kern w:val="0"/>
          <w:szCs w:val="20"/>
        </w:rPr>
        <w:t>8</w:t>
      </w:r>
      <w:r>
        <w:rPr>
          <w:rFonts w:ascii="宋体" w:hAnsi="宋体"/>
          <w:kern w:val="0"/>
          <w:szCs w:val="20"/>
        </w:rPr>
        <w:t>]</w:t>
      </w:r>
    </w:p>
    <w:p w14:paraId="524E1B50">
      <w:pPr>
        <w:pStyle w:val="104"/>
        <w:shd w:val="clear" w:color="000000" w:fill="auto"/>
        <w:spacing w:before="312" w:after="312"/>
      </w:pPr>
      <w:bookmarkStart w:id="62" w:name="_Toc234910753"/>
      <w:bookmarkStart w:id="63" w:name="_Toc233209931"/>
      <w:bookmarkStart w:id="64" w:name="_Toc154749486"/>
      <w:bookmarkStart w:id="65" w:name="_Toc140949021"/>
      <w:bookmarkStart w:id="66" w:name="_Toc143261419"/>
      <w:bookmarkStart w:id="67" w:name="_Toc154749441"/>
      <w:bookmarkStart w:id="68" w:name="_Toc154749526"/>
      <w:bookmarkStart w:id="69" w:name="_Toc144718380"/>
      <w:bookmarkStart w:id="70" w:name="_Toc154853509"/>
      <w:bookmarkStart w:id="71" w:name="_Toc157672242"/>
      <w:bookmarkStart w:id="72" w:name="_Toc157672262"/>
      <w:bookmarkStart w:id="73" w:name="_Toc145182821"/>
      <w:bookmarkStart w:id="74" w:name="_Toc145182856"/>
      <w:bookmarkStart w:id="75" w:name="_Toc174998237"/>
      <w:bookmarkStart w:id="76" w:name="_Toc145182786"/>
      <w:r>
        <w:rPr>
          <w:rFonts w:hint="eastAsia"/>
        </w:rPr>
        <w:t>基本原则</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085D2DEF">
      <w:pPr>
        <w:pStyle w:val="105"/>
        <w:shd w:val="clear" w:color="000000" w:fill="auto"/>
        <w:spacing w:before="156" w:after="156"/>
      </w:pPr>
      <w:r>
        <w:rPr>
          <w:rFonts w:hint="eastAsia"/>
        </w:rPr>
        <w:t>依法依规</w:t>
      </w:r>
    </w:p>
    <w:p w14:paraId="18D1FBB2">
      <w:pPr>
        <w:pStyle w:val="56"/>
        <w:ind w:firstLine="420"/>
      </w:pPr>
      <w:bookmarkStart w:id="77" w:name="_Hlk233102949"/>
      <w:r>
        <w:rPr>
          <w:rFonts w:hint="eastAsia"/>
        </w:rPr>
        <w:t>应符合法律法规及国家和地方相关排放标准规定要求。</w:t>
      </w:r>
      <w:bookmarkEnd w:id="77"/>
    </w:p>
    <w:p w14:paraId="197AA05C">
      <w:pPr>
        <w:pStyle w:val="105"/>
        <w:shd w:val="clear" w:color="000000" w:fill="auto"/>
        <w:spacing w:before="156" w:after="156"/>
      </w:pPr>
      <w:r>
        <w:rPr>
          <w:rFonts w:hint="eastAsia"/>
        </w:rPr>
        <w:t>风险防范</w:t>
      </w:r>
    </w:p>
    <w:p w14:paraId="1066AA2A">
      <w:pPr>
        <w:pStyle w:val="56"/>
        <w:shd w:val="clear" w:color="000000" w:fill="auto"/>
        <w:ind w:firstLine="420"/>
      </w:pPr>
      <w:bookmarkStart w:id="78" w:name="_Hlk233103423"/>
      <w:r>
        <w:rPr>
          <w:rFonts w:hint="eastAsia"/>
        </w:rPr>
        <w:t>应避免毒性强、环境危害大、具有持久性和易于生物富集的有毒有害水污染物被稀释排放。</w:t>
      </w:r>
      <w:bookmarkEnd w:id="78"/>
    </w:p>
    <w:p w14:paraId="4D9ABE56">
      <w:pPr>
        <w:pStyle w:val="105"/>
        <w:shd w:val="clear" w:color="000000" w:fill="auto"/>
        <w:spacing w:before="156" w:after="156"/>
      </w:pPr>
      <w:r>
        <w:rPr>
          <w:rFonts w:hint="eastAsia"/>
        </w:rPr>
        <w:t>污染不增</w:t>
      </w:r>
    </w:p>
    <w:p w14:paraId="4484C21B">
      <w:pPr>
        <w:pStyle w:val="56"/>
        <w:shd w:val="clear" w:color="000000" w:fill="auto"/>
        <w:ind w:firstLine="420"/>
      </w:pPr>
      <w:bookmarkStart w:id="79" w:name="_Hlk233103651"/>
      <w:r>
        <w:rPr>
          <w:rFonts w:hint="eastAsia"/>
        </w:rPr>
        <w:t>应满足经污水集中处理设施处理后污染物排放量较排放源自行处理时不增加。</w:t>
      </w:r>
      <w:bookmarkEnd w:id="79"/>
    </w:p>
    <w:p w14:paraId="34176FFC">
      <w:pPr>
        <w:pStyle w:val="105"/>
        <w:shd w:val="clear" w:color="000000" w:fill="auto"/>
        <w:spacing w:before="156" w:after="156"/>
      </w:pPr>
      <w:bookmarkStart w:id="80" w:name="_Hlk140602905"/>
      <w:bookmarkStart w:id="81" w:name="_Hlk140602915"/>
      <w:r>
        <w:rPr>
          <w:rFonts w:hint="eastAsia"/>
        </w:rPr>
        <w:t>稳定达标</w:t>
      </w:r>
      <w:bookmarkEnd w:id="80"/>
    </w:p>
    <w:bookmarkEnd w:id="81"/>
    <w:p w14:paraId="022FD8CA">
      <w:pPr>
        <w:pStyle w:val="56"/>
        <w:shd w:val="clear" w:color="000000" w:fill="auto"/>
        <w:ind w:firstLine="420"/>
      </w:pPr>
      <w:bookmarkStart w:id="82" w:name="_Hlk233103758"/>
      <w:r>
        <w:rPr>
          <w:rFonts w:hint="eastAsia"/>
        </w:rPr>
        <w:t>应确保污水集中处理设施稳定运行和出水达标排放。</w:t>
      </w:r>
      <w:bookmarkEnd w:id="82"/>
    </w:p>
    <w:p w14:paraId="009C6061">
      <w:pPr>
        <w:pStyle w:val="105"/>
        <w:shd w:val="clear" w:color="000000" w:fill="auto"/>
        <w:spacing w:before="156" w:after="156"/>
      </w:pPr>
      <w:r>
        <w:rPr>
          <w:rFonts w:hint="eastAsia"/>
        </w:rPr>
        <w:t>设施安全</w:t>
      </w:r>
    </w:p>
    <w:p w14:paraId="0A2A160D">
      <w:pPr>
        <w:pStyle w:val="56"/>
        <w:shd w:val="clear" w:color="000000" w:fill="auto"/>
        <w:ind w:firstLine="420"/>
      </w:pPr>
      <w:bookmarkStart w:id="83" w:name="_Hlk233104111"/>
      <w:r>
        <w:rPr>
          <w:rFonts w:hint="eastAsia"/>
        </w:rPr>
        <w:t>应不影响或危及排水设施安全及其正常运行，不造成管网腐蚀和淤积堵塞。</w:t>
      </w:r>
      <w:bookmarkEnd w:id="83"/>
    </w:p>
    <w:p w14:paraId="0B9CACAA">
      <w:pPr>
        <w:pStyle w:val="105"/>
        <w:shd w:val="clear" w:color="000000" w:fill="auto"/>
        <w:spacing w:before="156" w:after="156"/>
      </w:pPr>
      <w:r>
        <w:rPr>
          <w:rFonts w:hint="eastAsia"/>
        </w:rPr>
        <w:t>自愿协商</w:t>
      </w:r>
    </w:p>
    <w:p w14:paraId="1498A219">
      <w:pPr>
        <w:pStyle w:val="56"/>
        <w:shd w:val="clear" w:color="000000" w:fill="auto"/>
        <w:ind w:firstLine="420"/>
      </w:pPr>
      <w:r>
        <w:rPr>
          <w:rFonts w:hint="eastAsia"/>
        </w:rPr>
        <w:t>相关方应是自愿、平等、友好的开展废水碳源综合利用或间接排放协商工作，并签订具有法律效力的书面合同，约定协商的污染物项目和浓度限值。污水集中处理设施运营单位与多家同类型企业开展协商时，要充分考虑不同类型、不同所有制企业间协商内容的公平性。</w:t>
      </w:r>
    </w:p>
    <w:p w14:paraId="3E8F68CA">
      <w:pPr>
        <w:pStyle w:val="104"/>
        <w:shd w:val="clear" w:color="000000" w:fill="auto"/>
        <w:spacing w:before="312" w:after="312"/>
      </w:pPr>
      <w:bookmarkStart w:id="84" w:name="_Toc154749527"/>
      <w:bookmarkStart w:id="85" w:name="_Toc154749442"/>
      <w:bookmarkStart w:id="86" w:name="_Toc144718381"/>
      <w:bookmarkStart w:id="87" w:name="_Toc145182787"/>
      <w:bookmarkStart w:id="88" w:name="_Toc143261420"/>
      <w:bookmarkStart w:id="89" w:name="_Toc154853510"/>
      <w:bookmarkStart w:id="90" w:name="_Toc154749487"/>
      <w:bookmarkStart w:id="91" w:name="_Toc145182822"/>
      <w:bookmarkStart w:id="92" w:name="_Toc145182857"/>
      <w:bookmarkStart w:id="93" w:name="_Toc140949022"/>
      <w:bookmarkStart w:id="94" w:name="_Toc174998238"/>
      <w:bookmarkStart w:id="95" w:name="_Toc233209932"/>
      <w:bookmarkStart w:id="96" w:name="_Toc157672263"/>
      <w:bookmarkStart w:id="97" w:name="_Toc234910754"/>
      <w:bookmarkStart w:id="98" w:name="_Toc157672243"/>
      <w:r>
        <w:rPr>
          <w:rFonts w:hint="eastAsia"/>
        </w:rPr>
        <w:t>工作</w:t>
      </w:r>
      <w:bookmarkEnd w:id="84"/>
      <w:bookmarkEnd w:id="85"/>
      <w:bookmarkEnd w:id="86"/>
      <w:bookmarkEnd w:id="87"/>
      <w:bookmarkEnd w:id="88"/>
      <w:bookmarkEnd w:id="89"/>
      <w:bookmarkEnd w:id="90"/>
      <w:bookmarkEnd w:id="91"/>
      <w:bookmarkEnd w:id="92"/>
      <w:bookmarkEnd w:id="93"/>
      <w:r>
        <w:rPr>
          <w:rFonts w:hint="eastAsia"/>
        </w:rPr>
        <w:t>要求</w:t>
      </w:r>
      <w:bookmarkEnd w:id="94"/>
      <w:bookmarkEnd w:id="95"/>
      <w:bookmarkEnd w:id="96"/>
      <w:bookmarkEnd w:id="97"/>
      <w:bookmarkEnd w:id="98"/>
    </w:p>
    <w:p w14:paraId="1EB3D2E6">
      <w:pPr>
        <w:pStyle w:val="105"/>
        <w:shd w:val="clear" w:color="000000" w:fill="auto"/>
        <w:spacing w:before="156" w:after="156"/>
      </w:pPr>
      <w:r>
        <w:rPr>
          <w:rFonts w:hint="eastAsia"/>
        </w:rPr>
        <w:t>实施主体</w:t>
      </w:r>
    </w:p>
    <w:p w14:paraId="73AE9279">
      <w:pPr>
        <w:pStyle w:val="56"/>
        <w:shd w:val="clear" w:color="000000" w:fill="auto"/>
        <w:ind w:firstLine="420"/>
        <w:rPr>
          <w:rFonts w:ascii="Times New Roman"/>
        </w:rPr>
      </w:pPr>
      <w:r>
        <w:rPr>
          <w:rFonts w:hint="eastAsia" w:ascii="Times New Roman"/>
        </w:rPr>
        <w:t>污水集中处理设施运营单位、工业企业等相关方是实施的主体。</w:t>
      </w:r>
    </w:p>
    <w:p w14:paraId="0B3632C2">
      <w:pPr>
        <w:pStyle w:val="105"/>
        <w:shd w:val="clear" w:color="000000" w:fill="auto"/>
        <w:spacing w:before="156" w:after="156"/>
      </w:pPr>
      <w:r>
        <w:rPr>
          <w:rFonts w:hint="eastAsia"/>
        </w:rPr>
        <w:t>实施路径</w:t>
      </w:r>
    </w:p>
    <w:p w14:paraId="1775B6CE">
      <w:pPr>
        <w:pStyle w:val="165"/>
      </w:pPr>
      <w:r>
        <w:rPr>
          <w:rFonts w:hint="eastAsia"/>
        </w:rPr>
        <w:t>按照国家和地方排放标准中规定要求，开展包括需求分析、可行性分析、风险分析、协商约定内容、设施设备改造等工作（见“</w:t>
      </w:r>
      <w:r>
        <w:rPr>
          <w:b/>
          <w:bCs/>
        </w:rPr>
        <w:t xml:space="preserve">6 </w:t>
      </w:r>
      <w:r>
        <w:rPr>
          <w:rFonts w:hint="eastAsia" w:ascii="黑体" w:hAnsi="黑体" w:eastAsia="黑体"/>
        </w:rPr>
        <w:t>主要分析内容</w:t>
      </w:r>
      <w:r>
        <w:rPr>
          <w:rFonts w:hint="eastAsia"/>
        </w:rPr>
        <w:t>”），明确协商约定内容，签订具备法律效力的书面合同，并依法依规履行环境影响评价、排污许可等手续。</w:t>
      </w:r>
    </w:p>
    <w:p w14:paraId="013D7290">
      <w:pPr>
        <w:pStyle w:val="165"/>
      </w:pPr>
      <w:r>
        <w:rPr>
          <w:rFonts w:hint="eastAsia"/>
        </w:rPr>
        <w:t>协商约定合同及相关材料，报所在地生态环境、污水处理行业主管部门核定和备案；并将协商约定排放浓度限值依法载入排污许可证、排污登记表以及排水许可证。</w:t>
      </w:r>
    </w:p>
    <w:p w14:paraId="49C5C450">
      <w:pPr>
        <w:pStyle w:val="104"/>
        <w:shd w:val="clear" w:color="000000" w:fill="auto"/>
        <w:spacing w:before="312" w:after="312"/>
      </w:pPr>
      <w:bookmarkStart w:id="99" w:name="_Toc154853513"/>
      <w:bookmarkEnd w:id="99"/>
      <w:bookmarkStart w:id="100" w:name="_Toc154853511"/>
      <w:bookmarkEnd w:id="100"/>
      <w:bookmarkStart w:id="101" w:name="_Toc154853512"/>
      <w:bookmarkEnd w:id="101"/>
      <w:bookmarkStart w:id="102" w:name="_Toc233209933"/>
      <w:bookmarkStart w:id="103" w:name="_Toc174998239"/>
      <w:bookmarkStart w:id="104" w:name="_Toc157672264"/>
      <w:bookmarkStart w:id="105" w:name="_Toc234910755"/>
      <w:bookmarkStart w:id="106" w:name="_Toc157672244"/>
      <w:bookmarkStart w:id="107" w:name="_Toc154853514"/>
      <w:r>
        <w:rPr>
          <w:rFonts w:hint="eastAsia" w:ascii="Times New Roman"/>
        </w:rPr>
        <w:t>主要分析内容</w:t>
      </w:r>
      <w:bookmarkEnd w:id="102"/>
      <w:bookmarkEnd w:id="103"/>
      <w:bookmarkEnd w:id="104"/>
      <w:bookmarkEnd w:id="105"/>
      <w:bookmarkEnd w:id="106"/>
      <w:bookmarkEnd w:id="107"/>
    </w:p>
    <w:p w14:paraId="43091C23">
      <w:pPr>
        <w:pStyle w:val="105"/>
        <w:shd w:val="clear" w:color="000000" w:fill="auto"/>
        <w:spacing w:before="156" w:after="156"/>
      </w:pPr>
      <w:r>
        <w:rPr>
          <w:rFonts w:hint="eastAsia"/>
        </w:rPr>
        <w:t>需求分析</w:t>
      </w:r>
    </w:p>
    <w:p w14:paraId="4F8933D8">
      <w:pPr>
        <w:pStyle w:val="56"/>
        <w:shd w:val="clear" w:color="000000" w:fill="auto"/>
        <w:ind w:firstLine="420"/>
      </w:pPr>
      <w:r>
        <w:rPr>
          <w:rFonts w:hint="eastAsia"/>
        </w:rPr>
        <w:t>对区域范围内污水集中处理设施、相关工业企业开展系统梳理，明确相关需求方、意向方。区域范围原则上不超过设区市行政区范围，优先考虑在污水集中处理设施覆盖范围内。</w:t>
      </w:r>
    </w:p>
    <w:p w14:paraId="5D96CA19">
      <w:pPr>
        <w:pStyle w:val="105"/>
        <w:shd w:val="clear" w:color="000000" w:fill="auto"/>
        <w:spacing w:before="156" w:after="156"/>
      </w:pPr>
      <w:r>
        <w:rPr>
          <w:rFonts w:hint="eastAsia"/>
        </w:rPr>
        <w:t>可行性分析</w:t>
      </w:r>
    </w:p>
    <w:p w14:paraId="7CD3F8BF">
      <w:pPr>
        <w:pStyle w:val="56"/>
        <w:shd w:val="clear" w:color="000000" w:fill="auto"/>
        <w:ind w:firstLine="420"/>
      </w:pPr>
      <w:r>
        <w:rPr>
          <w:rFonts w:hint="eastAsia"/>
        </w:rPr>
        <w:t>应充分考虑利用方式、输送方式、污水集中处理设施处理负荷等技术可行性，以及项目的经济可行性、碳减排潜力。其中，通过理论分析、中（小）试验、试运行方式等明确废水作为碳源利用的可行性以及对污水集中处理设施运行、出水水质等影响。</w:t>
      </w:r>
    </w:p>
    <w:p w14:paraId="6AFAA528">
      <w:pPr>
        <w:pStyle w:val="105"/>
        <w:shd w:val="clear" w:color="000000" w:fill="auto"/>
        <w:spacing w:before="156" w:after="156"/>
      </w:pPr>
      <w:r>
        <w:rPr>
          <w:rFonts w:hint="eastAsia"/>
        </w:rPr>
        <w:t>风险分析</w:t>
      </w:r>
    </w:p>
    <w:p w14:paraId="2C9ECD6B">
      <w:pPr>
        <w:pStyle w:val="65"/>
        <w:shd w:val="clear" w:color="000000" w:fill="auto"/>
        <w:spacing w:before="156" w:after="156"/>
      </w:pPr>
      <w:r>
        <w:rPr>
          <w:rFonts w:hint="eastAsia"/>
        </w:rPr>
        <w:t>废水风险分析</w:t>
      </w:r>
    </w:p>
    <w:p w14:paraId="633B4C46">
      <w:pPr>
        <w:pStyle w:val="94"/>
        <w:shd w:val="clear" w:color="000000" w:fill="auto"/>
        <w:spacing w:before="156" w:after="156"/>
      </w:pPr>
      <w:bookmarkStart w:id="108" w:name="_Hlk140934729"/>
      <w:r>
        <w:rPr>
          <w:rFonts w:hint="eastAsia"/>
        </w:rPr>
        <w:t>成分分析</w:t>
      </w:r>
    </w:p>
    <w:bookmarkEnd w:id="108"/>
    <w:p w14:paraId="74EA016D">
      <w:pPr>
        <w:pStyle w:val="56"/>
        <w:shd w:val="clear" w:color="000000" w:fill="auto"/>
        <w:ind w:firstLine="420"/>
      </w:pPr>
      <w:r>
        <w:rPr>
          <w:rFonts w:hint="eastAsia"/>
        </w:rPr>
        <w:t>对废水进行包括来源、主要成分以及涉及的原辅材料等梳理分析，明确主要成分，涉及的污染物指标，以及以下内容：</w:t>
      </w:r>
    </w:p>
    <w:p w14:paraId="5045B74C">
      <w:pPr>
        <w:pStyle w:val="132"/>
        <w:shd w:val="clear" w:color="000000" w:fill="auto"/>
      </w:pPr>
      <w:r>
        <w:rPr>
          <w:rFonts w:hint="eastAsia"/>
        </w:rPr>
        <w:t>是否涉及有毒有害物质，包括第一类污染物、新污染物、持久性有机物、国际履约物质、剧毒物质、“三致”物质、《优先控制化学品名录》、有毒有害水污染物名录等中所列物质；</w:t>
      </w:r>
    </w:p>
    <w:p w14:paraId="1D95AC76">
      <w:pPr>
        <w:pStyle w:val="132"/>
        <w:shd w:val="clear" w:color="000000" w:fill="auto"/>
      </w:pPr>
      <w:r>
        <w:rPr>
          <w:rFonts w:hint="eastAsia"/>
        </w:rPr>
        <w:t>是否存在腐蚀、爆炸、易燃、反应性等性质；</w:t>
      </w:r>
    </w:p>
    <w:p w14:paraId="1205FA25">
      <w:pPr>
        <w:pStyle w:val="132"/>
        <w:shd w:val="clear" w:color="000000" w:fill="auto"/>
      </w:pPr>
      <w:r>
        <w:rPr>
          <w:rFonts w:hint="eastAsia"/>
        </w:rPr>
        <w:t>是否存在致病性病原微生物、动物传染病等生物安全风险。</w:t>
      </w:r>
    </w:p>
    <w:p w14:paraId="0A5A17AA">
      <w:pPr>
        <w:pStyle w:val="94"/>
        <w:shd w:val="clear" w:color="000000" w:fill="auto"/>
        <w:spacing w:before="156" w:after="156"/>
      </w:pPr>
      <w:r>
        <w:rPr>
          <w:rFonts w:hint="eastAsia"/>
        </w:rPr>
        <w:t>预处理要求</w:t>
      </w:r>
    </w:p>
    <w:p w14:paraId="3D183433">
      <w:pPr>
        <w:pStyle w:val="56"/>
        <w:ind w:firstLine="420"/>
      </w:pPr>
      <w:r>
        <w:rPr>
          <w:rFonts w:hint="eastAsia"/>
        </w:rPr>
        <w:t>对涉及有毒有害物质、腐蚀性、病原微生物等废水，应开展预处理，其中：</w:t>
      </w:r>
    </w:p>
    <w:p w14:paraId="3D4A8D67">
      <w:pPr>
        <w:pStyle w:val="132"/>
      </w:pPr>
      <w:bookmarkStart w:id="109" w:name="_Hlk153799999"/>
      <w:r>
        <w:rPr>
          <w:rFonts w:hint="eastAsia"/>
        </w:rPr>
        <w:t>涉有毒有害物质的：</w:t>
      </w:r>
    </w:p>
    <w:bookmarkEnd w:id="109"/>
    <w:p w14:paraId="701F8E8B">
      <w:pPr>
        <w:pStyle w:val="109"/>
      </w:pPr>
      <w:r>
        <w:rPr>
          <w:rFonts w:hint="eastAsia"/>
        </w:rPr>
        <w:t>应实行源头管控，开展源头分流、实施单独收集和预处理，并应充分考虑悬浮物、石油类等对有毒有害物质浓度的影响；</w:t>
      </w:r>
    </w:p>
    <w:p w14:paraId="05AC5A71">
      <w:pPr>
        <w:pStyle w:val="109"/>
      </w:pPr>
      <w:r>
        <w:rPr>
          <w:rFonts w:hint="eastAsia"/>
        </w:rPr>
        <w:t>第一类污染物及其他有毒有害物质应符合在车间或车间处理设施排放口达标；</w:t>
      </w:r>
    </w:p>
    <w:p w14:paraId="401662EA">
      <w:pPr>
        <w:pStyle w:val="109"/>
      </w:pPr>
      <w:r>
        <w:rPr>
          <w:rFonts w:hint="eastAsia"/>
        </w:rPr>
        <w:t>其他难降解污染物应符合相关排放标准要求。</w:t>
      </w:r>
    </w:p>
    <w:p w14:paraId="0E08E556">
      <w:pPr>
        <w:pStyle w:val="132"/>
      </w:pPr>
      <w:r>
        <w:rPr>
          <w:rFonts w:hint="eastAsia"/>
        </w:rPr>
        <w:t>涉腐蚀、爆炸、易燃、反应性的：</w:t>
      </w:r>
    </w:p>
    <w:p w14:paraId="35DD77E3">
      <w:pPr>
        <w:pStyle w:val="56"/>
        <w:ind w:firstLine="420"/>
      </w:pPr>
      <w:r>
        <w:rPr>
          <w:rFonts w:hint="eastAsia"/>
        </w:rPr>
        <w:t>应通过适宜的预处理或者源头分类收集等方式降低其相关风险性。</w:t>
      </w:r>
    </w:p>
    <w:p w14:paraId="0C0661F9">
      <w:pPr>
        <w:pStyle w:val="132"/>
      </w:pPr>
      <w:r>
        <w:rPr>
          <w:rFonts w:hint="eastAsia"/>
        </w:rPr>
        <w:t>涉病原微生物、动物传染病等生物安全的：</w:t>
      </w:r>
    </w:p>
    <w:p w14:paraId="0C4D00E1">
      <w:pPr>
        <w:pStyle w:val="56"/>
        <w:ind w:firstLine="420"/>
      </w:pPr>
      <w:r>
        <w:rPr>
          <w:rFonts w:hint="eastAsia"/>
        </w:rPr>
        <w:t>应开展消毒处理，确保粪大肠菌群数、大肠菌群数等相关生物指标满足相关标准要求。</w:t>
      </w:r>
    </w:p>
    <w:p w14:paraId="0127812C">
      <w:pPr>
        <w:pStyle w:val="65"/>
        <w:shd w:val="clear" w:color="000000" w:fill="auto"/>
        <w:spacing w:before="156" w:after="156"/>
      </w:pPr>
      <w:r>
        <w:rPr>
          <w:rFonts w:hint="eastAsia"/>
        </w:rPr>
        <w:t>输送方式风险分析</w:t>
      </w:r>
    </w:p>
    <w:p w14:paraId="639328C2">
      <w:pPr>
        <w:pStyle w:val="56"/>
        <w:shd w:val="clear" w:color="000000" w:fill="auto"/>
        <w:ind w:firstLine="420"/>
      </w:pPr>
      <w:r>
        <w:rPr>
          <w:rFonts w:hint="eastAsia"/>
        </w:rPr>
        <w:t>充分考虑废水输送方式的风险及其可能对环境产生影响，要重点关注以下内容：</w:t>
      </w:r>
    </w:p>
    <w:p w14:paraId="1F8F8806">
      <w:pPr>
        <w:pStyle w:val="174"/>
        <w:numPr>
          <w:ilvl w:val="0"/>
          <w:numId w:val="32"/>
        </w:numPr>
        <w:shd w:val="clear" w:color="000000" w:fill="auto"/>
      </w:pPr>
      <w:r>
        <w:rPr>
          <w:rFonts w:hint="eastAsia"/>
        </w:rPr>
        <w:t>优先采用专管架空或明沟明管输送，鼓励“一企一管”专管输送，同类同质废水专管输送，实现“点对点”利用；</w:t>
      </w:r>
    </w:p>
    <w:p w14:paraId="6062228C">
      <w:pPr>
        <w:pStyle w:val="174"/>
        <w:shd w:val="clear" w:color="000000" w:fill="auto"/>
      </w:pPr>
      <w:r>
        <w:rPr>
          <w:rFonts w:hint="eastAsia"/>
        </w:rPr>
        <w:t>采用车辆运输的，根据废水成分、性质，确定运输管理要求；应明确定向路线、专人专车、台账记录、视频监控、卫星定位等要求，并根据废水性质（如腐蚀、爆炸、易燃、毒性、反应性）明确运输设备、储存设备的要求；</w:t>
      </w:r>
    </w:p>
    <w:p w14:paraId="2FD442EE">
      <w:pPr>
        <w:pStyle w:val="174"/>
        <w:shd w:val="clear" w:color="000000" w:fill="auto"/>
      </w:pPr>
      <w:r>
        <w:rPr>
          <w:rFonts w:hint="eastAsia"/>
        </w:rPr>
        <w:t>市政污水管网输送的，获得行业主管部门同意，关注废水腐蚀性、悬浮物浓度，以及长</w:t>
      </w:r>
      <w:r>
        <w:rPr>
          <w:rFonts w:hint="eastAsia" w:ascii="Times New Roman"/>
        </w:rPr>
        <w:t>距离输送废水降解转化产生的环境、安全风险，管网破损缺陷等产生的二次污染风险等情况</w:t>
      </w:r>
      <w:r>
        <w:rPr>
          <w:rFonts w:hint="eastAsia"/>
        </w:rPr>
        <w:t>。</w:t>
      </w:r>
    </w:p>
    <w:p w14:paraId="7D1877C7">
      <w:pPr>
        <w:pStyle w:val="65"/>
        <w:shd w:val="clear" w:color="000000" w:fill="auto"/>
        <w:spacing w:before="156" w:after="156"/>
      </w:pPr>
      <w:r>
        <w:rPr>
          <w:rFonts w:hint="eastAsia"/>
        </w:rPr>
        <w:t>污水集中处理设施影响分析</w:t>
      </w:r>
    </w:p>
    <w:p w14:paraId="2EB80CE6">
      <w:pPr>
        <w:pStyle w:val="94"/>
        <w:shd w:val="clear" w:color="000000" w:fill="auto"/>
        <w:spacing w:before="156" w:after="156"/>
      </w:pPr>
      <w:r>
        <w:rPr>
          <w:rFonts w:hint="eastAsia"/>
        </w:rPr>
        <w:t>城镇污水处理厂</w:t>
      </w:r>
    </w:p>
    <w:p w14:paraId="65D393EB">
      <w:pPr>
        <w:pStyle w:val="56"/>
        <w:shd w:val="clear" w:color="000000" w:fill="auto"/>
        <w:ind w:firstLine="420"/>
      </w:pPr>
      <w:r>
        <w:rPr>
          <w:rFonts w:hint="eastAsia"/>
        </w:rPr>
        <w:t>充分考虑废水水质、水量的波动对城镇污水处理厂脱氮除磷等处理工艺影响以及对出水水质、特征污染指标等方面达标稳定性的影响。</w:t>
      </w:r>
    </w:p>
    <w:p w14:paraId="00DE7957">
      <w:pPr>
        <w:pStyle w:val="94"/>
        <w:shd w:val="clear" w:color="000000" w:fill="auto"/>
        <w:spacing w:before="156" w:after="156"/>
      </w:pPr>
      <w:r>
        <w:rPr>
          <w:rFonts w:hint="eastAsia"/>
        </w:rPr>
        <w:t>工业废水集中处理厂</w:t>
      </w:r>
    </w:p>
    <w:p w14:paraId="71E19F59">
      <w:pPr>
        <w:pStyle w:val="56"/>
        <w:shd w:val="clear" w:color="000000" w:fill="auto"/>
        <w:ind w:firstLine="420"/>
      </w:pPr>
      <w:r>
        <w:rPr>
          <w:rFonts w:hint="eastAsia"/>
        </w:rPr>
        <w:t>在城镇污水处理厂的基础上，考虑对工业废水集中处理厂产生的“稀释”影响，尤其是对第一类污染物、特征污染指标的影响。</w:t>
      </w:r>
    </w:p>
    <w:p w14:paraId="77AB01A1">
      <w:pPr>
        <w:pStyle w:val="65"/>
        <w:shd w:val="clear" w:color="000000" w:fill="auto"/>
        <w:spacing w:before="156" w:after="156"/>
      </w:pPr>
      <w:r>
        <w:rPr>
          <w:rFonts w:hint="eastAsia"/>
        </w:rPr>
        <w:t>对工业企业自身影响分析</w:t>
      </w:r>
    </w:p>
    <w:p w14:paraId="766A833B">
      <w:pPr>
        <w:pStyle w:val="56"/>
        <w:shd w:val="clear" w:color="000000" w:fill="auto"/>
        <w:ind w:firstLine="420"/>
      </w:pPr>
      <w:r>
        <w:rPr>
          <w:rFonts w:hint="eastAsia"/>
        </w:rPr>
        <w:t>充分考虑污水集中处理设施不同处理负荷下对工业企业产生的影响，如节假日，汛期、暴雨等特殊天气，其他行业生产淡旺季，检维修期间等。</w:t>
      </w:r>
    </w:p>
    <w:p w14:paraId="0AA965B4">
      <w:pPr>
        <w:pStyle w:val="65"/>
        <w:shd w:val="clear" w:color="000000" w:fill="auto"/>
        <w:spacing w:before="156" w:after="156"/>
      </w:pPr>
      <w:r>
        <w:rPr>
          <w:rFonts w:hint="eastAsia"/>
        </w:rPr>
        <w:t>突发环境事件风险分析</w:t>
      </w:r>
    </w:p>
    <w:p w14:paraId="1FAF70E7">
      <w:pPr>
        <w:pStyle w:val="56"/>
        <w:shd w:val="clear" w:color="000000" w:fill="auto"/>
        <w:ind w:firstLine="420"/>
      </w:pPr>
      <w:r>
        <w:rPr>
          <w:rFonts w:hint="eastAsia"/>
        </w:rPr>
        <w:t>充分考虑突发事件所产生的环境影响，开展突发环境事件风险分析，明确并实施应急处置方式、制订应急预案，开展应急演练。</w:t>
      </w:r>
    </w:p>
    <w:p w14:paraId="288AFE79">
      <w:pPr>
        <w:pStyle w:val="104"/>
        <w:shd w:val="clear" w:color="000000" w:fill="auto"/>
        <w:spacing w:before="312" w:after="312"/>
      </w:pPr>
      <w:bookmarkStart w:id="110" w:name="_Toc154853518"/>
      <w:bookmarkEnd w:id="110"/>
      <w:bookmarkStart w:id="111" w:name="_Toc154853515"/>
      <w:bookmarkEnd w:id="111"/>
      <w:bookmarkStart w:id="112" w:name="_Toc154853516"/>
      <w:bookmarkEnd w:id="112"/>
      <w:bookmarkStart w:id="113" w:name="_Toc154853517"/>
      <w:bookmarkEnd w:id="113"/>
      <w:bookmarkStart w:id="114" w:name="_Toc154853519"/>
      <w:bookmarkStart w:id="115" w:name="_Toc157672245"/>
      <w:bookmarkStart w:id="116" w:name="_Toc174998240"/>
      <w:bookmarkStart w:id="117" w:name="_Toc157672265"/>
      <w:bookmarkStart w:id="118" w:name="_Toc233209934"/>
      <w:bookmarkStart w:id="119" w:name="_Toc234910756"/>
      <w:r>
        <w:rPr>
          <w:rFonts w:hint="eastAsia"/>
        </w:rPr>
        <w:t>设施设备</w:t>
      </w:r>
      <w:bookmarkEnd w:id="114"/>
      <w:bookmarkEnd w:id="115"/>
      <w:bookmarkEnd w:id="116"/>
      <w:bookmarkEnd w:id="117"/>
      <w:r>
        <w:rPr>
          <w:rFonts w:hint="eastAsia"/>
        </w:rPr>
        <w:t>更新改造</w:t>
      </w:r>
      <w:bookmarkEnd w:id="118"/>
      <w:bookmarkEnd w:id="119"/>
    </w:p>
    <w:p w14:paraId="77513667">
      <w:pPr>
        <w:pStyle w:val="105"/>
        <w:shd w:val="clear" w:color="000000" w:fill="auto"/>
        <w:spacing w:before="156" w:after="156"/>
        <w:rPr>
          <w:rFonts w:hint="eastAsia" w:hAnsi="宋体"/>
        </w:rPr>
      </w:pPr>
      <w:r>
        <w:rPr>
          <w:rFonts w:hint="eastAsia" w:ascii="宋体" w:hAnsi="宋体" w:eastAsia="宋体"/>
        </w:rPr>
        <w:t>根据风险分析和合同约定等相关要求，工业企业、污水集中处理设施运营单位应开展必要的设施设备建设和改造。</w:t>
      </w:r>
    </w:p>
    <w:p w14:paraId="01A11471">
      <w:pPr>
        <w:pStyle w:val="105"/>
        <w:shd w:val="clear" w:color="000000" w:fill="auto"/>
        <w:spacing w:before="156" w:after="156"/>
      </w:pPr>
      <w:r>
        <w:rPr>
          <w:rFonts w:hint="eastAsia"/>
        </w:rPr>
        <w:t>工业企业</w:t>
      </w:r>
    </w:p>
    <w:p w14:paraId="1B99F2D1">
      <w:pPr>
        <w:pStyle w:val="56"/>
        <w:shd w:val="clear" w:color="000000" w:fill="auto"/>
        <w:ind w:firstLine="420"/>
        <w:rPr>
          <w:rFonts w:hint="eastAsia" w:hAnsi="宋体"/>
        </w:rPr>
      </w:pPr>
      <w:r>
        <w:rPr>
          <w:rFonts w:hint="eastAsia" w:hAnsi="宋体"/>
        </w:rPr>
        <w:t>新增改造主要包括以下内容：</w:t>
      </w:r>
    </w:p>
    <w:p w14:paraId="7C050581">
      <w:pPr>
        <w:pStyle w:val="174"/>
        <w:numPr>
          <w:ilvl w:val="0"/>
          <w:numId w:val="33"/>
        </w:numPr>
        <w:shd w:val="clear" w:color="000000" w:fill="auto"/>
        <w:rPr>
          <w:rFonts w:hint="eastAsia" w:hAnsi="宋体"/>
        </w:rPr>
      </w:pPr>
      <w:r>
        <w:rPr>
          <w:rFonts w:hint="eastAsia" w:hAnsi="宋体"/>
        </w:rPr>
        <w:t>保留必要的处理设施，如预处理设施、调节池、沉淀池等，其中，预处理设施以保障废水满足“</w:t>
      </w:r>
      <w:r>
        <w:rPr>
          <w:rFonts w:hAnsi="宋体"/>
        </w:rPr>
        <w:t xml:space="preserve">6.3.1.2 </w:t>
      </w:r>
      <w:r>
        <w:rPr>
          <w:rFonts w:hint="eastAsia" w:hAnsi="宋体"/>
        </w:rPr>
        <w:t>预处理要求”相关要求；调节池、沉淀池等可作为稳定、调节水质水量用或作为应急处置（包括处理或储存）设施用；</w:t>
      </w:r>
    </w:p>
    <w:p w14:paraId="67B11970">
      <w:pPr>
        <w:pStyle w:val="174"/>
        <w:shd w:val="clear" w:color="000000" w:fill="auto"/>
        <w:rPr>
          <w:rFonts w:hint="eastAsia" w:hAnsi="宋体"/>
        </w:rPr>
      </w:pPr>
      <w:r>
        <w:rPr>
          <w:rFonts w:hint="eastAsia" w:hAnsi="宋体"/>
        </w:rPr>
        <w:t>配备必要的监测监管、信息共享等设施设备，包括配置满足约定浓度的自动监控设备或采用自动留样设备和手工监测方式等等效措施，以及水质水量数据共享的设施设备；</w:t>
      </w:r>
    </w:p>
    <w:p w14:paraId="1029D1C1">
      <w:pPr>
        <w:pStyle w:val="174"/>
        <w:shd w:val="clear" w:color="000000" w:fill="auto"/>
        <w:rPr>
          <w:rFonts w:hint="eastAsia" w:hAnsi="宋体"/>
        </w:rPr>
      </w:pPr>
      <w:r>
        <w:rPr>
          <w:rFonts w:hint="eastAsia" w:hAnsi="宋体"/>
        </w:rPr>
        <w:t>配备必要的应急处置设施、环境应急物资等；</w:t>
      </w:r>
    </w:p>
    <w:p w14:paraId="2F609A74">
      <w:pPr>
        <w:pStyle w:val="174"/>
        <w:shd w:val="clear" w:color="000000" w:fill="auto"/>
        <w:rPr>
          <w:rFonts w:hint="eastAsia" w:hAnsi="宋体"/>
        </w:rPr>
      </w:pPr>
      <w:r>
        <w:rPr>
          <w:rFonts w:hint="eastAsia" w:hAnsi="宋体"/>
        </w:rPr>
        <w:t>配备必要的二次污染防治设施、安全设施、监控设施等。</w:t>
      </w:r>
    </w:p>
    <w:p w14:paraId="2812169B">
      <w:pPr>
        <w:pStyle w:val="105"/>
        <w:shd w:val="clear" w:color="000000" w:fill="auto"/>
        <w:spacing w:before="156" w:after="156"/>
      </w:pPr>
      <w:r>
        <w:rPr>
          <w:rFonts w:hint="eastAsia"/>
        </w:rPr>
        <w:t>污水集中处理处理设施运营单位</w:t>
      </w:r>
    </w:p>
    <w:p w14:paraId="58F9F034">
      <w:pPr>
        <w:pStyle w:val="56"/>
        <w:shd w:val="clear" w:color="000000" w:fill="auto"/>
        <w:ind w:firstLine="420"/>
      </w:pPr>
      <w:r>
        <w:rPr>
          <w:rFonts w:hint="eastAsia"/>
        </w:rPr>
        <w:t>新增改造主要包括以下内容：</w:t>
      </w:r>
    </w:p>
    <w:p w14:paraId="0780E811">
      <w:pPr>
        <w:pStyle w:val="174"/>
        <w:numPr>
          <w:ilvl w:val="0"/>
          <w:numId w:val="34"/>
        </w:numPr>
        <w:shd w:val="clear" w:color="000000" w:fill="auto"/>
      </w:pPr>
      <w:r>
        <w:rPr>
          <w:rFonts w:hint="eastAsia"/>
        </w:rPr>
        <w:t>依据碳源的输送方式、行业管理部门等具体管理要求，应配备必要的贮存设施、计量设施、留样设施等；</w:t>
      </w:r>
    </w:p>
    <w:p w14:paraId="77537A3C">
      <w:pPr>
        <w:pStyle w:val="174"/>
        <w:shd w:val="clear" w:color="000000" w:fill="auto"/>
      </w:pPr>
      <w:r>
        <w:rPr>
          <w:rFonts w:hint="eastAsia"/>
        </w:rPr>
        <w:t>配备必要的环境应急物资、安全设施、监控设施等。</w:t>
      </w:r>
    </w:p>
    <w:p w14:paraId="0EED4FA5">
      <w:pPr>
        <w:pStyle w:val="104"/>
        <w:shd w:val="clear" w:color="000000" w:fill="auto"/>
        <w:spacing w:before="312" w:after="312"/>
      </w:pPr>
      <w:bookmarkStart w:id="120" w:name="_Toc233209935"/>
      <w:bookmarkStart w:id="121" w:name="_Toc234910757"/>
      <w:bookmarkStart w:id="122" w:name="_Toc154853521"/>
      <w:bookmarkStart w:id="123" w:name="_Toc143261422"/>
      <w:bookmarkStart w:id="124" w:name="_Toc145182824"/>
      <w:bookmarkStart w:id="125" w:name="_Toc145182789"/>
      <w:bookmarkStart w:id="126" w:name="_Toc154749490"/>
      <w:bookmarkStart w:id="127" w:name="_Toc144718383"/>
      <w:bookmarkStart w:id="128" w:name="_Toc154749445"/>
      <w:bookmarkStart w:id="129" w:name="_Toc140949024"/>
      <w:bookmarkStart w:id="130" w:name="_Toc157672246"/>
      <w:bookmarkStart w:id="131" w:name="_Toc157672266"/>
      <w:bookmarkStart w:id="132" w:name="_Toc145182859"/>
      <w:bookmarkStart w:id="133" w:name="_Toc154749530"/>
      <w:bookmarkStart w:id="134" w:name="_Toc174998241"/>
      <w:r>
        <w:rPr>
          <w:rFonts w:hint="eastAsia"/>
        </w:rPr>
        <w:t>协商约定内容要求</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2B9CB690">
      <w:pPr>
        <w:pStyle w:val="56"/>
        <w:shd w:val="clear" w:color="000000" w:fill="auto"/>
        <w:ind w:firstLine="420"/>
        <w:rPr>
          <w:rFonts w:hint="eastAsia" w:hAnsi="宋体"/>
        </w:rPr>
      </w:pPr>
      <w:r>
        <w:rPr>
          <w:rFonts w:hint="eastAsia" w:hAnsi="宋体"/>
        </w:rPr>
        <w:t>协商约定内容除明确约定水量、水质（污染物项目和限值）外，还应包括监测监控、信息共享、应急响应、违约赔偿、解释和争议解决、双方责任和义务等内容。相关方应签订具备法律效力的书面合同。存在下列情况的应重新签订并完成相关手续：</w:t>
      </w:r>
    </w:p>
    <w:p w14:paraId="36147347">
      <w:pPr>
        <w:pStyle w:val="132"/>
        <w:shd w:val="clear" w:color="000000" w:fill="auto"/>
        <w:rPr>
          <w:rFonts w:hint="eastAsia" w:hAnsi="宋体"/>
        </w:rPr>
      </w:pPr>
      <w:r>
        <w:rPr>
          <w:rFonts w:hint="eastAsia" w:hAnsi="宋体"/>
        </w:rPr>
        <w:t>书面合同到期</w:t>
      </w:r>
      <w:r>
        <w:rPr>
          <w:rFonts w:hAnsi="宋体"/>
        </w:rPr>
        <w:t>前3个月；</w:t>
      </w:r>
    </w:p>
    <w:p w14:paraId="499730C7">
      <w:pPr>
        <w:pStyle w:val="132"/>
        <w:shd w:val="clear" w:color="000000" w:fill="auto"/>
        <w:rPr>
          <w:rFonts w:hint="eastAsia" w:hAnsi="宋体"/>
        </w:rPr>
      </w:pPr>
      <w:r>
        <w:rPr>
          <w:rFonts w:hint="eastAsia" w:hAnsi="宋体"/>
        </w:rPr>
        <w:t>合同期间出现协商约定调整的；</w:t>
      </w:r>
    </w:p>
    <w:p w14:paraId="261CA976">
      <w:pPr>
        <w:pStyle w:val="132"/>
        <w:shd w:val="clear" w:color="000000" w:fill="auto"/>
        <w:rPr>
          <w:rFonts w:hint="eastAsia" w:hAnsi="宋体"/>
        </w:rPr>
      </w:pPr>
      <w:r>
        <w:rPr>
          <w:rFonts w:hint="eastAsia" w:hAnsi="宋体"/>
        </w:rPr>
        <w:t>污水集中处理设施出现不稳定达标或超设计处理能力的。</w:t>
      </w:r>
    </w:p>
    <w:p w14:paraId="33471D08">
      <w:pPr>
        <w:pStyle w:val="104"/>
        <w:shd w:val="clear" w:color="000000" w:fill="auto"/>
        <w:spacing w:before="312" w:after="312"/>
      </w:pPr>
      <w:bookmarkStart w:id="135" w:name="_Toc154853529"/>
      <w:bookmarkEnd w:id="135"/>
      <w:bookmarkStart w:id="136" w:name="_Toc154853526"/>
      <w:bookmarkEnd w:id="136"/>
      <w:bookmarkStart w:id="137" w:name="_Toc154853527"/>
      <w:bookmarkEnd w:id="137"/>
      <w:bookmarkStart w:id="138" w:name="_Toc154853525"/>
      <w:bookmarkEnd w:id="138"/>
      <w:bookmarkStart w:id="139" w:name="_Toc154853524"/>
      <w:bookmarkEnd w:id="139"/>
      <w:bookmarkStart w:id="140" w:name="_Toc154853523"/>
      <w:bookmarkEnd w:id="140"/>
      <w:bookmarkStart w:id="141" w:name="_Toc154853522"/>
      <w:bookmarkEnd w:id="141"/>
      <w:bookmarkStart w:id="142" w:name="_Toc154853528"/>
      <w:bookmarkEnd w:id="142"/>
      <w:bookmarkStart w:id="143" w:name="_Toc174998242"/>
      <w:bookmarkStart w:id="144" w:name="_Toc157672247"/>
      <w:bookmarkStart w:id="145" w:name="_Toc233209936"/>
      <w:bookmarkStart w:id="146" w:name="_Toc157672267"/>
      <w:bookmarkStart w:id="147" w:name="_Toc234910758"/>
      <w:bookmarkStart w:id="148" w:name="_Toc154853532"/>
      <w:r>
        <w:rPr>
          <w:rFonts w:hint="eastAsia"/>
        </w:rPr>
        <w:t>自行监测与台账要求</w:t>
      </w:r>
      <w:bookmarkEnd w:id="143"/>
      <w:bookmarkEnd w:id="144"/>
      <w:bookmarkEnd w:id="145"/>
      <w:bookmarkEnd w:id="146"/>
      <w:bookmarkEnd w:id="147"/>
      <w:bookmarkEnd w:id="148"/>
    </w:p>
    <w:p w14:paraId="4A31942C">
      <w:pPr>
        <w:pStyle w:val="105"/>
        <w:shd w:val="clear" w:color="000000" w:fill="auto"/>
        <w:spacing w:before="156" w:after="156"/>
      </w:pPr>
      <w:r>
        <w:rPr>
          <w:rFonts w:hint="eastAsia"/>
        </w:rPr>
        <w:t>自行监测要求</w:t>
      </w:r>
    </w:p>
    <w:p w14:paraId="1E7DEB6F">
      <w:pPr>
        <w:pStyle w:val="56"/>
        <w:ind w:firstLine="420"/>
        <w:rPr>
          <w:rFonts w:hint="eastAsia" w:hAnsi="宋体"/>
        </w:rPr>
      </w:pPr>
      <w:r>
        <w:rPr>
          <w:rFonts w:hint="eastAsia" w:hAnsi="宋体"/>
        </w:rPr>
        <w:t>工业企业在排污单位自行监测技术指南要求的基础上增加自行监测频次要求，宜提高一个量级，参见附录</w:t>
      </w:r>
      <w:r>
        <w:rPr>
          <w:rFonts w:hAnsi="宋体"/>
        </w:rPr>
        <w:t>A</w:t>
      </w:r>
      <w:r>
        <w:rPr>
          <w:rFonts w:hint="eastAsia" w:hAnsi="宋体"/>
        </w:rPr>
        <w:t>。流量（水量）、化学需氧量、氨氮、总氮、总磷、</w:t>
      </w:r>
      <w:r>
        <w:rPr>
          <w:rFonts w:hAnsi="宋体"/>
        </w:rPr>
        <w:t>pH</w:t>
      </w:r>
      <w:r>
        <w:rPr>
          <w:rFonts w:hint="eastAsia" w:hAnsi="宋体"/>
        </w:rPr>
        <w:t>值等常规指标优先采用自动监测或按日监测，并及时将监测数据共享至污水集中处理设施运营单位和相关行业主管部门。</w:t>
      </w:r>
    </w:p>
    <w:p w14:paraId="2ED30DF8">
      <w:pPr>
        <w:pStyle w:val="105"/>
        <w:shd w:val="clear" w:color="000000" w:fill="auto"/>
        <w:spacing w:before="156" w:after="156"/>
      </w:pPr>
      <w:r>
        <w:rPr>
          <w:rFonts w:hint="eastAsia"/>
        </w:rPr>
        <w:t>台账管理要求</w:t>
      </w:r>
    </w:p>
    <w:p w14:paraId="71CBA122">
      <w:pPr>
        <w:pStyle w:val="56"/>
        <w:shd w:val="clear" w:color="000000" w:fill="auto"/>
        <w:ind w:firstLine="420"/>
        <w:rPr>
          <w:rFonts w:hint="eastAsia" w:hAnsi="宋体"/>
        </w:rPr>
      </w:pPr>
      <w:r>
        <w:rPr>
          <w:rFonts w:hAnsi="宋体"/>
        </w:rPr>
        <w:t>按照HJ 944</w:t>
      </w:r>
      <w:r>
        <w:rPr>
          <w:rFonts w:hint="eastAsia" w:hAnsi="宋体"/>
        </w:rPr>
        <w:t>、HJ 978、</w:t>
      </w:r>
      <w:r>
        <w:rPr>
          <w:rFonts w:hAnsi="宋体"/>
        </w:rPr>
        <w:t>相关行业排污许可证申请与核发技术规范</w:t>
      </w:r>
      <w:r>
        <w:rPr>
          <w:rFonts w:hint="eastAsia" w:hAnsi="宋体"/>
        </w:rPr>
        <w:t>以及</w:t>
      </w:r>
      <w:r>
        <w:rPr>
          <w:rFonts w:hAnsi="宋体"/>
        </w:rPr>
        <w:t>相关管理要求做好台账记录。</w:t>
      </w:r>
    </w:p>
    <w:p w14:paraId="341AB601">
      <w:pPr>
        <w:pStyle w:val="104"/>
        <w:spacing w:before="312" w:after="312"/>
      </w:pPr>
      <w:bookmarkStart w:id="149" w:name="_Toc234910759"/>
      <w:r>
        <w:rPr>
          <w:rFonts w:hint="eastAsia"/>
        </w:rPr>
        <w:t>持续改进</w:t>
      </w:r>
      <w:bookmarkEnd w:id="149"/>
    </w:p>
    <w:p w14:paraId="7FC50B77">
      <w:pPr>
        <w:pStyle w:val="56"/>
        <w:ind w:firstLine="420"/>
      </w:pPr>
      <w:r>
        <w:rPr>
          <w:rFonts w:hint="eastAsia"/>
        </w:rPr>
        <w:t>对废水碳源综合利用实施情况进行评估，及时了解实施过程中存在的问题、不足、风险点等情况，并予以改进，并评估分析取得的碳减排、经济效益等情况。</w:t>
      </w:r>
    </w:p>
    <w:p w14:paraId="4555E2E5">
      <w:pPr>
        <w:pStyle w:val="56"/>
        <w:ind w:firstLine="420"/>
      </w:pPr>
    </w:p>
    <w:p w14:paraId="22534C12">
      <w:pPr>
        <w:pStyle w:val="56"/>
        <w:ind w:firstLine="420"/>
        <w:sectPr>
          <w:pgSz w:w="11906" w:h="16838"/>
          <w:pgMar w:top="1928" w:right="1134" w:bottom="1134" w:left="1134" w:header="1418" w:footer="1134" w:gutter="284"/>
          <w:pgNumType w:start="1"/>
          <w:cols w:space="425" w:num="1"/>
          <w:formProt w:val="0"/>
          <w:docGrid w:type="lines" w:linePitch="312" w:charSpace="0"/>
        </w:sectPr>
      </w:pPr>
    </w:p>
    <w:bookmarkEnd w:id="24"/>
    <w:p w14:paraId="6BB7FC20">
      <w:pPr>
        <w:pStyle w:val="198"/>
        <w:rPr>
          <w:rFonts w:hint="eastAsia"/>
        </w:rPr>
      </w:pPr>
      <w:bookmarkStart w:id="150" w:name="BookMark5"/>
    </w:p>
    <w:p w14:paraId="79930F9B">
      <w:pPr>
        <w:pStyle w:val="199"/>
      </w:pPr>
    </w:p>
    <w:p w14:paraId="09E0E397">
      <w:pPr>
        <w:pStyle w:val="76"/>
        <w:spacing w:after="156"/>
      </w:pPr>
      <w:r>
        <w:br w:type="textWrapping"/>
      </w:r>
      <w:bookmarkStart w:id="151" w:name="_Toc233209937"/>
      <w:bookmarkStart w:id="152" w:name="_Toc174998244"/>
      <w:bookmarkStart w:id="153" w:name="_Toc234910760"/>
      <w:r>
        <w:rPr>
          <w:rFonts w:hint="eastAsia"/>
        </w:rPr>
        <w:t>（资料性）</w:t>
      </w:r>
      <w:r>
        <w:br w:type="textWrapping"/>
      </w:r>
      <w:r>
        <w:rPr>
          <w:rFonts w:hint="eastAsia"/>
        </w:rPr>
        <w:t>自行监测频次要求</w:t>
      </w:r>
      <w:bookmarkEnd w:id="151"/>
      <w:bookmarkEnd w:id="152"/>
      <w:bookmarkEnd w:id="153"/>
    </w:p>
    <w:p w14:paraId="0278F02B">
      <w:pPr>
        <w:pStyle w:val="56"/>
        <w:shd w:val="clear" w:color="000000" w:fill="auto"/>
        <w:ind w:firstLine="420"/>
        <w:rPr>
          <w:rFonts w:hint="eastAsia" w:hAnsi="宋体"/>
        </w:rPr>
      </w:pPr>
      <w:r>
        <w:rPr>
          <w:rFonts w:hint="eastAsia" w:hAnsi="宋体"/>
        </w:rPr>
        <w:t>根据</w:t>
      </w:r>
      <w:r>
        <w:rPr>
          <w:rFonts w:hAnsi="宋体"/>
        </w:rPr>
        <w:t>HJ 819</w:t>
      </w:r>
      <w:r>
        <w:rPr>
          <w:rFonts w:hint="eastAsia" w:hAnsi="宋体"/>
        </w:rPr>
        <w:t>—</w:t>
      </w:r>
      <w:r>
        <w:rPr>
          <w:rFonts w:hAnsi="宋体"/>
        </w:rPr>
        <w:t>2017</w:t>
      </w:r>
      <w:r>
        <w:rPr>
          <w:rFonts w:hint="eastAsia" w:hAnsi="宋体"/>
        </w:rPr>
        <w:t>中</w:t>
      </w:r>
      <w:r>
        <w:rPr>
          <w:rFonts w:hAnsi="宋体"/>
        </w:rPr>
        <w:t>5.3.3条款和表2的规定</w:t>
      </w:r>
      <w:r>
        <w:rPr>
          <w:rFonts w:hint="eastAsia" w:hAnsi="宋体"/>
        </w:rPr>
        <w:t>，废水监测指标的最低监测频次包括日、月、季度、半年和年，提高一个量级要求见下表A.1。</w:t>
      </w:r>
    </w:p>
    <w:p w14:paraId="74A25C36">
      <w:pPr>
        <w:pStyle w:val="77"/>
        <w:shd w:val="clear" w:color="000000" w:fill="auto"/>
        <w:spacing w:before="156" w:after="156"/>
      </w:pPr>
      <w:r>
        <w:rPr>
          <w:rFonts w:hint="eastAsia"/>
        </w:rPr>
        <w:t>自行监测提高一个量级频次要求</w:t>
      </w:r>
    </w:p>
    <w:tbl>
      <w:tblPr>
        <w:tblStyle w:val="2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14:paraId="7C33A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667" w:type="dxa"/>
            <w:tcBorders>
              <w:top w:val="single" w:color="auto" w:sz="8" w:space="0"/>
              <w:bottom w:val="single" w:color="auto" w:sz="8" w:space="0"/>
            </w:tcBorders>
            <w:shd w:val="clear" w:color="auto" w:fill="auto"/>
            <w:vAlign w:val="center"/>
          </w:tcPr>
          <w:p w14:paraId="13B88579">
            <w:pPr>
              <w:pStyle w:val="56"/>
              <w:shd w:val="clear" w:color="000000" w:fill="auto"/>
              <w:ind w:firstLine="0" w:firstLineChars="0"/>
              <w:jc w:val="center"/>
              <w:rPr>
                <w:rFonts w:ascii="Times New Roman"/>
                <w:sz w:val="18"/>
              </w:rPr>
            </w:pPr>
            <w:bookmarkStart w:id="154" w:name="_Hlk233116645"/>
            <w:r>
              <w:rPr>
                <w:rFonts w:ascii="Times New Roman"/>
                <w:sz w:val="18"/>
              </w:rPr>
              <w:t>现状监测频次要求</w:t>
            </w:r>
          </w:p>
        </w:tc>
        <w:tc>
          <w:tcPr>
            <w:tcW w:w="4667" w:type="dxa"/>
            <w:tcBorders>
              <w:top w:val="single" w:color="auto" w:sz="8" w:space="0"/>
              <w:bottom w:val="single" w:color="auto" w:sz="8" w:space="0"/>
            </w:tcBorders>
            <w:shd w:val="clear" w:color="auto" w:fill="auto"/>
            <w:vAlign w:val="center"/>
          </w:tcPr>
          <w:p w14:paraId="28E5351F">
            <w:pPr>
              <w:pStyle w:val="56"/>
              <w:shd w:val="clear" w:color="000000" w:fill="auto"/>
              <w:ind w:firstLine="0" w:firstLineChars="0"/>
              <w:jc w:val="center"/>
              <w:rPr>
                <w:rFonts w:ascii="Times New Roman"/>
                <w:sz w:val="18"/>
              </w:rPr>
            </w:pPr>
            <w:r>
              <w:rPr>
                <w:rFonts w:ascii="Times New Roman"/>
                <w:sz w:val="18"/>
              </w:rPr>
              <w:t>提高一个量级频次要求</w:t>
            </w:r>
          </w:p>
        </w:tc>
      </w:tr>
      <w:tr w14:paraId="36671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667" w:type="dxa"/>
            <w:tcBorders>
              <w:top w:val="single" w:color="auto" w:sz="8" w:space="0"/>
            </w:tcBorders>
            <w:shd w:val="clear" w:color="auto" w:fill="auto"/>
            <w:vAlign w:val="center"/>
          </w:tcPr>
          <w:p w14:paraId="64D9BF98">
            <w:pPr>
              <w:pStyle w:val="56"/>
              <w:shd w:val="clear" w:color="000000" w:fill="auto"/>
              <w:ind w:firstLine="0" w:firstLineChars="0"/>
              <w:jc w:val="center"/>
              <w:rPr>
                <w:rFonts w:ascii="Times New Roman"/>
                <w:sz w:val="18"/>
              </w:rPr>
            </w:pPr>
            <w:r>
              <w:rPr>
                <w:rFonts w:ascii="Times New Roman"/>
                <w:sz w:val="18"/>
              </w:rPr>
              <w:t>自动监测</w:t>
            </w:r>
          </w:p>
        </w:tc>
        <w:tc>
          <w:tcPr>
            <w:tcW w:w="4667" w:type="dxa"/>
            <w:tcBorders>
              <w:top w:val="single" w:color="auto" w:sz="8" w:space="0"/>
            </w:tcBorders>
            <w:shd w:val="clear" w:color="auto" w:fill="auto"/>
            <w:vAlign w:val="center"/>
          </w:tcPr>
          <w:p w14:paraId="10981B97">
            <w:pPr>
              <w:pStyle w:val="56"/>
              <w:shd w:val="clear" w:color="000000" w:fill="auto"/>
              <w:ind w:firstLine="0" w:firstLineChars="0"/>
              <w:jc w:val="center"/>
              <w:rPr>
                <w:rFonts w:ascii="Times New Roman"/>
                <w:sz w:val="18"/>
              </w:rPr>
            </w:pPr>
            <w:r>
              <w:rPr>
                <w:rFonts w:ascii="Times New Roman"/>
                <w:sz w:val="18"/>
              </w:rPr>
              <w:t>自动监测</w:t>
            </w:r>
            <w:r>
              <w:rPr>
                <w:rFonts w:ascii="Times New Roman"/>
                <w:sz w:val="18"/>
                <w:vertAlign w:val="superscript"/>
              </w:rPr>
              <w:t>a</w:t>
            </w:r>
          </w:p>
        </w:tc>
      </w:tr>
      <w:tr w14:paraId="68B9D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667" w:type="dxa"/>
            <w:shd w:val="clear" w:color="auto" w:fill="auto"/>
            <w:vAlign w:val="center"/>
          </w:tcPr>
          <w:p w14:paraId="2CBDB152">
            <w:pPr>
              <w:pStyle w:val="56"/>
              <w:shd w:val="clear" w:color="000000" w:fill="auto"/>
              <w:ind w:firstLine="0" w:firstLineChars="0"/>
              <w:jc w:val="center"/>
              <w:rPr>
                <w:rFonts w:ascii="Times New Roman"/>
                <w:sz w:val="18"/>
              </w:rPr>
            </w:pPr>
            <w:r>
              <w:rPr>
                <w:rFonts w:ascii="Times New Roman"/>
                <w:sz w:val="18"/>
              </w:rPr>
              <w:t>日</w:t>
            </w:r>
          </w:p>
        </w:tc>
        <w:tc>
          <w:tcPr>
            <w:tcW w:w="4667" w:type="dxa"/>
            <w:shd w:val="clear" w:color="auto" w:fill="auto"/>
            <w:vAlign w:val="center"/>
          </w:tcPr>
          <w:p w14:paraId="04486791">
            <w:pPr>
              <w:pStyle w:val="56"/>
              <w:shd w:val="clear" w:color="000000" w:fill="auto"/>
              <w:ind w:firstLine="0" w:firstLineChars="0"/>
              <w:jc w:val="center"/>
              <w:rPr>
                <w:rFonts w:ascii="Times New Roman"/>
                <w:sz w:val="18"/>
              </w:rPr>
            </w:pPr>
            <w:r>
              <w:rPr>
                <w:rFonts w:ascii="Times New Roman"/>
                <w:sz w:val="18"/>
              </w:rPr>
              <w:t>日、自动监测</w:t>
            </w:r>
            <w:r>
              <w:rPr>
                <w:rFonts w:ascii="Times New Roman"/>
                <w:sz w:val="18"/>
                <w:vertAlign w:val="superscript"/>
              </w:rPr>
              <w:t>a</w:t>
            </w:r>
          </w:p>
        </w:tc>
      </w:tr>
      <w:tr w14:paraId="1F633D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667" w:type="dxa"/>
            <w:shd w:val="clear" w:color="auto" w:fill="auto"/>
            <w:vAlign w:val="center"/>
          </w:tcPr>
          <w:p w14:paraId="3BB2CB84">
            <w:pPr>
              <w:pStyle w:val="56"/>
              <w:shd w:val="clear" w:color="000000" w:fill="auto"/>
              <w:ind w:firstLine="0" w:firstLineChars="0"/>
              <w:jc w:val="center"/>
              <w:rPr>
                <w:rFonts w:ascii="Times New Roman"/>
                <w:sz w:val="18"/>
              </w:rPr>
            </w:pPr>
            <w:r>
              <w:rPr>
                <w:rFonts w:ascii="Times New Roman"/>
                <w:sz w:val="18"/>
              </w:rPr>
              <w:t>月</w:t>
            </w:r>
          </w:p>
        </w:tc>
        <w:tc>
          <w:tcPr>
            <w:tcW w:w="4667" w:type="dxa"/>
            <w:shd w:val="clear" w:color="auto" w:fill="auto"/>
            <w:vAlign w:val="center"/>
          </w:tcPr>
          <w:p w14:paraId="55364E35">
            <w:pPr>
              <w:pStyle w:val="56"/>
              <w:shd w:val="clear" w:color="000000" w:fill="auto"/>
              <w:ind w:firstLine="0" w:firstLineChars="0"/>
              <w:jc w:val="center"/>
              <w:rPr>
                <w:rFonts w:ascii="Times New Roman"/>
                <w:sz w:val="18"/>
              </w:rPr>
            </w:pPr>
            <w:r>
              <w:rPr>
                <w:rFonts w:ascii="Times New Roman"/>
                <w:sz w:val="18"/>
              </w:rPr>
              <w:t>周、半月</w:t>
            </w:r>
          </w:p>
        </w:tc>
      </w:tr>
      <w:tr w14:paraId="2DBA5D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667" w:type="dxa"/>
            <w:shd w:val="clear" w:color="auto" w:fill="auto"/>
            <w:vAlign w:val="center"/>
          </w:tcPr>
          <w:p w14:paraId="3D3AD660">
            <w:pPr>
              <w:pStyle w:val="56"/>
              <w:shd w:val="clear" w:color="000000" w:fill="auto"/>
              <w:ind w:firstLine="0" w:firstLineChars="0"/>
              <w:jc w:val="center"/>
              <w:rPr>
                <w:rFonts w:ascii="Times New Roman"/>
                <w:sz w:val="18"/>
              </w:rPr>
            </w:pPr>
            <w:r>
              <w:rPr>
                <w:rFonts w:ascii="Times New Roman"/>
                <w:sz w:val="18"/>
              </w:rPr>
              <w:t>季度</w:t>
            </w:r>
          </w:p>
        </w:tc>
        <w:tc>
          <w:tcPr>
            <w:tcW w:w="4667" w:type="dxa"/>
            <w:shd w:val="clear" w:color="auto" w:fill="auto"/>
            <w:vAlign w:val="center"/>
          </w:tcPr>
          <w:p w14:paraId="153F0548">
            <w:pPr>
              <w:pStyle w:val="56"/>
              <w:shd w:val="clear" w:color="000000" w:fill="auto"/>
              <w:ind w:firstLine="0" w:firstLineChars="0"/>
              <w:jc w:val="center"/>
              <w:rPr>
                <w:rFonts w:ascii="Times New Roman"/>
                <w:sz w:val="18"/>
              </w:rPr>
            </w:pPr>
            <w:r>
              <w:rPr>
                <w:rFonts w:ascii="Times New Roman"/>
                <w:sz w:val="18"/>
              </w:rPr>
              <w:t>月、2次/季度</w:t>
            </w:r>
          </w:p>
        </w:tc>
      </w:tr>
      <w:tr w14:paraId="50953E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667" w:type="dxa"/>
            <w:shd w:val="clear" w:color="auto" w:fill="auto"/>
            <w:vAlign w:val="center"/>
          </w:tcPr>
          <w:p w14:paraId="61B1D424">
            <w:pPr>
              <w:pStyle w:val="56"/>
              <w:shd w:val="clear" w:color="000000" w:fill="auto"/>
              <w:ind w:firstLine="0" w:firstLineChars="0"/>
              <w:jc w:val="center"/>
              <w:rPr>
                <w:rFonts w:ascii="Times New Roman"/>
                <w:sz w:val="18"/>
              </w:rPr>
            </w:pPr>
            <w:r>
              <w:rPr>
                <w:rFonts w:ascii="Times New Roman"/>
                <w:sz w:val="18"/>
              </w:rPr>
              <w:t>半年</w:t>
            </w:r>
          </w:p>
        </w:tc>
        <w:tc>
          <w:tcPr>
            <w:tcW w:w="4667" w:type="dxa"/>
            <w:shd w:val="clear" w:color="auto" w:fill="auto"/>
            <w:vAlign w:val="center"/>
          </w:tcPr>
          <w:p w14:paraId="7E2445C3">
            <w:pPr>
              <w:pStyle w:val="56"/>
              <w:shd w:val="clear" w:color="000000" w:fill="auto"/>
              <w:ind w:firstLine="0" w:firstLineChars="0"/>
              <w:jc w:val="center"/>
              <w:rPr>
                <w:rFonts w:ascii="Times New Roman"/>
                <w:sz w:val="18"/>
              </w:rPr>
            </w:pPr>
            <w:r>
              <w:rPr>
                <w:rFonts w:ascii="Times New Roman"/>
                <w:sz w:val="18"/>
              </w:rPr>
              <w:t>季度</w:t>
            </w:r>
          </w:p>
        </w:tc>
      </w:tr>
      <w:tr w14:paraId="099B75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4667" w:type="dxa"/>
            <w:shd w:val="clear" w:color="auto" w:fill="auto"/>
            <w:vAlign w:val="center"/>
          </w:tcPr>
          <w:p w14:paraId="087D4E3C">
            <w:pPr>
              <w:pStyle w:val="56"/>
              <w:shd w:val="clear" w:color="000000" w:fill="auto"/>
              <w:ind w:firstLine="0" w:firstLineChars="0"/>
              <w:jc w:val="center"/>
              <w:rPr>
                <w:rFonts w:ascii="Times New Roman"/>
                <w:sz w:val="18"/>
              </w:rPr>
            </w:pPr>
            <w:r>
              <w:rPr>
                <w:rFonts w:ascii="Times New Roman"/>
                <w:sz w:val="18"/>
              </w:rPr>
              <w:t>年</w:t>
            </w:r>
          </w:p>
        </w:tc>
        <w:tc>
          <w:tcPr>
            <w:tcW w:w="4667" w:type="dxa"/>
            <w:shd w:val="clear" w:color="auto" w:fill="auto"/>
            <w:vAlign w:val="center"/>
          </w:tcPr>
          <w:p w14:paraId="4A2F09E5">
            <w:pPr>
              <w:pStyle w:val="56"/>
              <w:shd w:val="clear" w:color="000000" w:fill="auto"/>
              <w:ind w:firstLine="0" w:firstLineChars="0"/>
              <w:jc w:val="center"/>
              <w:rPr>
                <w:rFonts w:ascii="Times New Roman"/>
                <w:sz w:val="18"/>
              </w:rPr>
            </w:pPr>
            <w:r>
              <w:rPr>
                <w:rFonts w:ascii="Times New Roman"/>
                <w:sz w:val="18"/>
              </w:rPr>
              <w:t>半年</w:t>
            </w:r>
          </w:p>
        </w:tc>
      </w:tr>
      <w:bookmarkEnd w:id="154"/>
    </w:tbl>
    <w:p w14:paraId="219A2CDA">
      <w:pPr>
        <w:pStyle w:val="56"/>
        <w:ind w:firstLine="420"/>
      </w:pPr>
    </w:p>
    <w:p w14:paraId="546363F1">
      <w:pPr>
        <w:pStyle w:val="56"/>
        <w:ind w:firstLine="420"/>
      </w:pPr>
    </w:p>
    <w:p w14:paraId="1D60B817">
      <w:pPr>
        <w:pStyle w:val="56"/>
        <w:ind w:firstLine="420"/>
      </w:pPr>
    </w:p>
    <w:p w14:paraId="6ECE36B8">
      <w:pPr>
        <w:pStyle w:val="56"/>
        <w:ind w:firstLine="420"/>
      </w:pPr>
    </w:p>
    <w:bookmarkEnd w:id="150"/>
    <w:p w14:paraId="358485F1">
      <w:pPr>
        <w:pStyle w:val="56"/>
        <w:ind w:firstLine="420"/>
        <w:sectPr>
          <w:pgSz w:w="11906" w:h="16838"/>
          <w:pgMar w:top="1928" w:right="1134" w:bottom="1134" w:left="1134" w:header="1418" w:footer="1134" w:gutter="284"/>
          <w:cols w:space="425" w:num="1"/>
          <w:formProt w:val="0"/>
          <w:docGrid w:type="lines" w:linePitch="312" w:charSpace="0"/>
        </w:sectPr>
      </w:pPr>
      <w:bookmarkStart w:id="155" w:name="BookMark6"/>
    </w:p>
    <w:p w14:paraId="6042E4EC">
      <w:pPr>
        <w:pStyle w:val="63"/>
        <w:spacing w:after="156"/>
      </w:pPr>
      <w:bookmarkStart w:id="156" w:name="_Toc234910761"/>
      <w:bookmarkStart w:id="157" w:name="_Toc174998245"/>
      <w:bookmarkStart w:id="158" w:name="_Toc233209938"/>
      <w:r>
        <w:rPr>
          <w:rFonts w:hint="eastAsia"/>
          <w:spacing w:val="105"/>
        </w:rPr>
        <w:t>参考文</w:t>
      </w:r>
      <w:r>
        <w:rPr>
          <w:rFonts w:hint="eastAsia"/>
        </w:rPr>
        <w:t>献</w:t>
      </w:r>
      <w:bookmarkEnd w:id="156"/>
      <w:bookmarkEnd w:id="157"/>
      <w:bookmarkEnd w:id="158"/>
    </w:p>
    <w:p w14:paraId="2DC764A3">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hint="eastAsia" w:ascii="宋体" w:hAnsi="宋体"/>
          <w:kern w:val="0"/>
          <w:szCs w:val="20"/>
        </w:rPr>
        <w:t>GB 8978</w:t>
      </w:r>
      <w:r>
        <w:rPr>
          <w:rFonts w:ascii="宋体" w:hAnsi="宋体"/>
          <w:kern w:val="0"/>
          <w:szCs w:val="20"/>
        </w:rPr>
        <w:t>—</w:t>
      </w:r>
      <w:r>
        <w:rPr>
          <w:rFonts w:hint="eastAsia" w:ascii="宋体" w:hAnsi="宋体"/>
          <w:kern w:val="0"/>
          <w:szCs w:val="20"/>
        </w:rPr>
        <w:t>1996  污水综合排放标准</w:t>
      </w:r>
    </w:p>
    <w:p w14:paraId="785E15E3">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ascii="宋体" w:hAnsi="宋体"/>
          <w:kern w:val="0"/>
          <w:szCs w:val="20"/>
        </w:rPr>
        <w:t>GB 13457—2025</w:t>
      </w:r>
      <w:r>
        <w:rPr>
          <w:rFonts w:hint="eastAsia" w:ascii="宋体" w:hAnsi="宋体"/>
          <w:kern w:val="0"/>
          <w:szCs w:val="20"/>
        </w:rPr>
        <w:t xml:space="preserve">  屠宰及肉类加工工业水污染物排放标准</w:t>
      </w:r>
    </w:p>
    <w:p w14:paraId="76F43496">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hint="eastAsia" w:ascii="宋体" w:hAnsi="宋体"/>
          <w:kern w:val="0"/>
          <w:szCs w:val="20"/>
        </w:rPr>
        <w:t>GB 19430</w:t>
      </w:r>
      <w:r>
        <w:rPr>
          <w:rFonts w:ascii="宋体" w:hAnsi="宋体"/>
          <w:kern w:val="0"/>
          <w:szCs w:val="20"/>
        </w:rPr>
        <w:t>—</w:t>
      </w:r>
      <w:r>
        <w:rPr>
          <w:rFonts w:hint="eastAsia" w:ascii="宋体" w:hAnsi="宋体"/>
          <w:kern w:val="0"/>
          <w:szCs w:val="20"/>
        </w:rPr>
        <w:t>2013  柠檬酸工业水污染物排放标准</w:t>
      </w:r>
    </w:p>
    <w:p w14:paraId="1AEEB5FA">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ascii="宋体" w:hAnsi="宋体"/>
          <w:kern w:val="0"/>
          <w:szCs w:val="20"/>
        </w:rPr>
        <w:t>GB 19821—2025</w:t>
      </w:r>
      <w:r>
        <w:rPr>
          <w:rFonts w:hint="eastAsia" w:ascii="宋体" w:hAnsi="宋体"/>
          <w:kern w:val="0"/>
          <w:szCs w:val="20"/>
        </w:rPr>
        <w:t xml:space="preserve">  酒类制造业水污染物排放标准</w:t>
      </w:r>
    </w:p>
    <w:p w14:paraId="20703C68">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hint="eastAsia" w:ascii="宋体" w:hAnsi="宋体"/>
          <w:kern w:val="0"/>
          <w:szCs w:val="20"/>
        </w:rPr>
        <w:t>GB 25461</w:t>
      </w:r>
      <w:r>
        <w:rPr>
          <w:rFonts w:ascii="宋体" w:hAnsi="宋体"/>
          <w:kern w:val="0"/>
          <w:szCs w:val="20"/>
        </w:rPr>
        <w:t>—</w:t>
      </w:r>
      <w:r>
        <w:rPr>
          <w:rFonts w:hint="eastAsia" w:ascii="宋体" w:hAnsi="宋体"/>
          <w:kern w:val="0"/>
          <w:szCs w:val="20"/>
        </w:rPr>
        <w:t>2010  淀粉工业水污染物排放标准</w:t>
      </w:r>
    </w:p>
    <w:p w14:paraId="0CCA20F3">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hint="eastAsia" w:ascii="宋体" w:hAnsi="宋体"/>
          <w:kern w:val="0"/>
          <w:szCs w:val="20"/>
        </w:rPr>
        <w:t>GB 25462</w:t>
      </w:r>
      <w:r>
        <w:rPr>
          <w:rFonts w:ascii="宋体" w:hAnsi="宋体"/>
          <w:kern w:val="0"/>
          <w:szCs w:val="20"/>
        </w:rPr>
        <w:t>—</w:t>
      </w:r>
      <w:r>
        <w:rPr>
          <w:rFonts w:hint="eastAsia" w:ascii="宋体" w:hAnsi="宋体"/>
          <w:kern w:val="0"/>
          <w:szCs w:val="20"/>
        </w:rPr>
        <w:t>2010  酵母工业水污染物排放标准</w:t>
      </w:r>
    </w:p>
    <w:p w14:paraId="1D30C754">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hint="eastAsia" w:ascii="宋体" w:hAnsi="宋体"/>
          <w:kern w:val="0"/>
          <w:szCs w:val="20"/>
        </w:rPr>
        <w:t>GB 46817</w:t>
      </w:r>
      <w:r>
        <w:rPr>
          <w:rFonts w:ascii="宋体" w:hAnsi="宋体"/>
          <w:kern w:val="0"/>
          <w:szCs w:val="20"/>
        </w:rPr>
        <w:t>—</w:t>
      </w:r>
      <w:r>
        <w:rPr>
          <w:rFonts w:hint="eastAsia" w:ascii="宋体" w:hAnsi="宋体"/>
          <w:kern w:val="0"/>
          <w:szCs w:val="20"/>
        </w:rPr>
        <w:t>2025  食品加工制造业水污染物排放标准</w:t>
      </w:r>
    </w:p>
    <w:p w14:paraId="58188E41">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ascii="宋体" w:hAnsi="宋体"/>
          <w:kern w:val="0"/>
          <w:szCs w:val="20"/>
        </w:rPr>
        <w:t>HJ 945.2</w:t>
      </w:r>
      <w:r>
        <w:rPr>
          <w:rFonts w:hint="eastAsia" w:ascii="宋体" w:hAnsi="宋体"/>
          <w:kern w:val="0"/>
          <w:szCs w:val="20"/>
        </w:rPr>
        <w:t>—2018</w:t>
      </w:r>
      <w:r>
        <w:rPr>
          <w:rFonts w:ascii="宋体" w:hAnsi="宋体"/>
          <w:kern w:val="0"/>
          <w:szCs w:val="20"/>
        </w:rPr>
        <w:t xml:space="preserve">  国家水污染物排放标准制订技术导则</w:t>
      </w:r>
    </w:p>
    <w:p w14:paraId="522EE99E">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ascii="宋体" w:hAnsi="宋体"/>
          <w:kern w:val="0"/>
          <w:szCs w:val="20"/>
        </w:rPr>
        <w:t>HG/T 5960</w:t>
      </w:r>
      <w:r>
        <w:rPr>
          <w:rFonts w:hint="eastAsia" w:ascii="宋体" w:hAnsi="宋体"/>
          <w:kern w:val="0"/>
          <w:szCs w:val="20"/>
        </w:rPr>
        <w:t>—</w:t>
      </w:r>
      <w:r>
        <w:rPr>
          <w:rFonts w:ascii="宋体" w:hAnsi="宋体"/>
          <w:kern w:val="0"/>
          <w:szCs w:val="20"/>
        </w:rPr>
        <w:t>2021</w:t>
      </w:r>
      <w:r>
        <w:rPr>
          <w:rFonts w:hint="eastAsia" w:ascii="宋体" w:hAnsi="宋体"/>
          <w:kern w:val="0"/>
          <w:szCs w:val="20"/>
        </w:rPr>
        <w:t xml:space="preserve">  废（污）水处理用复合碳源</w:t>
      </w:r>
    </w:p>
    <w:p w14:paraId="4C24FAEA">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hint="eastAsia" w:ascii="宋体" w:hAnsi="宋体"/>
          <w:kern w:val="0"/>
          <w:szCs w:val="20"/>
        </w:rPr>
        <w:t xml:space="preserve">DB31/ 199—2018  污水综合排放标准 </w:t>
      </w:r>
    </w:p>
    <w:p w14:paraId="4DF5C14D">
      <w:pPr>
        <w:widowControl/>
        <w:numPr>
          <w:ilvl w:val="0"/>
          <w:numId w:val="35"/>
        </w:numPr>
        <w:shd w:val="clear" w:color="000000" w:fill="auto"/>
        <w:autoSpaceDE w:val="0"/>
        <w:autoSpaceDN w:val="0"/>
        <w:adjustRightInd/>
        <w:spacing w:line="240" w:lineRule="auto"/>
        <w:rPr>
          <w:rFonts w:hint="eastAsia" w:ascii="宋体" w:hAnsi="宋体"/>
          <w:kern w:val="0"/>
          <w:szCs w:val="20"/>
        </w:rPr>
      </w:pPr>
      <w:r>
        <w:rPr>
          <w:rFonts w:hint="eastAsia" w:ascii="宋体" w:hAnsi="宋体"/>
          <w:kern w:val="0"/>
          <w:szCs w:val="20"/>
        </w:rPr>
        <w:t>DB33/ 887—2025  工业企业废水氮、磷污染物间接排放标准</w:t>
      </w:r>
    </w:p>
    <w:p w14:paraId="54116F13">
      <w:pPr>
        <w:pStyle w:val="56"/>
        <w:ind w:firstLine="420"/>
      </w:pPr>
    </w:p>
    <w:p w14:paraId="7FA79DCA">
      <w:pPr>
        <w:pStyle w:val="56"/>
        <w:ind w:firstLine="420"/>
      </w:pPr>
    </w:p>
    <w:p w14:paraId="1E705587">
      <w:pPr>
        <w:pStyle w:val="56"/>
        <w:ind w:firstLine="420"/>
      </w:pPr>
    </w:p>
    <w:p w14:paraId="1096B537">
      <w:pPr>
        <w:pStyle w:val="56"/>
        <w:ind w:firstLine="420"/>
      </w:pPr>
    </w:p>
    <w:bookmarkEnd w:id="155"/>
    <w:p w14:paraId="7F2B55B8">
      <w:pPr>
        <w:pStyle w:val="56"/>
        <w:ind w:firstLine="0" w:firstLineChars="0"/>
        <w:jc w:val="center"/>
      </w:pPr>
      <w:bookmarkStart w:id="159" w:name="BookMark8"/>
      <w:r>
        <w:drawing>
          <wp:inline distT="0" distB="0" distL="0" distR="0">
            <wp:extent cx="1485900" cy="317500"/>
            <wp:effectExtent l="0" t="0" r="0" b="6350"/>
            <wp:docPr id="1120479990" name="图片 1"/>
            <wp:cNvGraphicFramePr/>
            <a:graphic xmlns:a="http://schemas.openxmlformats.org/drawingml/2006/main">
              <a:graphicData uri="http://schemas.openxmlformats.org/drawingml/2006/picture">
                <pic:pic xmlns:pic="http://schemas.openxmlformats.org/drawingml/2006/picture">
                  <pic:nvPicPr>
                    <pic:cNvPr id="1120479990" name="图片 1"/>
                    <pic:cNvPicPr/>
                  </pic:nvPicPr>
                  <pic:blipFill>
                    <a:blip r:embed="rId1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59"/>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F6E01">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4C51C">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65DA8">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2C9AA">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7F7A5">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0479C">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C18A0">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D6172">
    <w:pPr>
      <w:pStyle w:val="61"/>
      <w:rPr>
        <w:rFonts w:hint="eastAsia"/>
      </w:rPr>
    </w:pPr>
    <w:r>
      <w:t xml:space="preserve">DB 31/T 310XXX—XXXXDB 32/T 310XXX—XXXXDB 33/T 310XXX—XXXX </w:t>
    </w:r>
    <w:r>
      <w:fldChar w:fldCharType="begin"/>
    </w:r>
    <w:r>
      <w:instrText xml:space="preserve"> STYLEREF  标准文件_文件编号  \* MERGEFORMAT </w:instrText>
    </w:r>
    <w:r>
      <w:fldChar w:fldCharType="separate"/>
    </w:r>
    <w:r>
      <w:t>DB 34/T 310XXX—XXXX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2FEE3">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34/T 310XXX—XXXX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6EC66FD6"/>
    <w:multiLevelType w:val="multilevel"/>
    <w:tmpl w:val="6EC66FD6"/>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1">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1"/>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attachedTemplate r:id="rId1"/>
  <w:documentProtection w:edit="forms" w:enforcement="1" w:cryptProviderType="rsaAES" w:cryptAlgorithmClass="hash" w:cryptAlgorithmType="typeAny" w:cryptAlgorithmSid="14" w:cryptSpinCount="100000" w:hash="PjDOWprFsfqIrT92Ds6uVjBpRZizt4PqLSJQRvhQnGuTF/cAHqCbPQk3BirwtLN15i7Ig1wGgOZed8M/6fLj8Q==" w:salt="X3nxMonmASONIU3mHpMNmA=="/>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C6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262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539B"/>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571"/>
    <w:rsid w:val="00094D73"/>
    <w:rsid w:val="00096D63"/>
    <w:rsid w:val="000A0B60"/>
    <w:rsid w:val="000A0EB8"/>
    <w:rsid w:val="000A19FC"/>
    <w:rsid w:val="000A296B"/>
    <w:rsid w:val="000A7311"/>
    <w:rsid w:val="000B060F"/>
    <w:rsid w:val="000B1592"/>
    <w:rsid w:val="000B1FF2"/>
    <w:rsid w:val="000B3CDA"/>
    <w:rsid w:val="000B46AE"/>
    <w:rsid w:val="000B6A0B"/>
    <w:rsid w:val="000C0F6C"/>
    <w:rsid w:val="000C11DB"/>
    <w:rsid w:val="000C1492"/>
    <w:rsid w:val="000C2FBD"/>
    <w:rsid w:val="000C4B41"/>
    <w:rsid w:val="000C57D6"/>
    <w:rsid w:val="000C6362"/>
    <w:rsid w:val="000C7666"/>
    <w:rsid w:val="000D0A9C"/>
    <w:rsid w:val="000D1795"/>
    <w:rsid w:val="000D1A44"/>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0BB1"/>
    <w:rsid w:val="001321C6"/>
    <w:rsid w:val="001325C4"/>
    <w:rsid w:val="00133010"/>
    <w:rsid w:val="001338EE"/>
    <w:rsid w:val="00133AAE"/>
    <w:rsid w:val="00135323"/>
    <w:rsid w:val="001356C4"/>
    <w:rsid w:val="00141114"/>
    <w:rsid w:val="0014288F"/>
    <w:rsid w:val="00142969"/>
    <w:rsid w:val="001446C2"/>
    <w:rsid w:val="0014569A"/>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07C7"/>
    <w:rsid w:val="001852C9"/>
    <w:rsid w:val="00190087"/>
    <w:rsid w:val="001913C4"/>
    <w:rsid w:val="0019348F"/>
    <w:rsid w:val="00193A07"/>
    <w:rsid w:val="00194C95"/>
    <w:rsid w:val="00195ABD"/>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2751"/>
    <w:rsid w:val="00233D64"/>
    <w:rsid w:val="0023482A"/>
    <w:rsid w:val="002359CB"/>
    <w:rsid w:val="00243540"/>
    <w:rsid w:val="0024497B"/>
    <w:rsid w:val="0024515B"/>
    <w:rsid w:val="00246021"/>
    <w:rsid w:val="0024666E"/>
    <w:rsid w:val="00247F52"/>
    <w:rsid w:val="00250B25"/>
    <w:rsid w:val="00250BBE"/>
    <w:rsid w:val="002515C2"/>
    <w:rsid w:val="0025194F"/>
    <w:rsid w:val="0025457E"/>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0C7C"/>
    <w:rsid w:val="00313B85"/>
    <w:rsid w:val="00317988"/>
    <w:rsid w:val="003221B4"/>
    <w:rsid w:val="0032258D"/>
    <w:rsid w:val="00322E62"/>
    <w:rsid w:val="00324D13"/>
    <w:rsid w:val="00324D2A"/>
    <w:rsid w:val="00324EDD"/>
    <w:rsid w:val="00330446"/>
    <w:rsid w:val="003331E4"/>
    <w:rsid w:val="003346E8"/>
    <w:rsid w:val="00336C64"/>
    <w:rsid w:val="00337162"/>
    <w:rsid w:val="0034194F"/>
    <w:rsid w:val="00343645"/>
    <w:rsid w:val="003436CB"/>
    <w:rsid w:val="00344605"/>
    <w:rsid w:val="003474AA"/>
    <w:rsid w:val="00350D1D"/>
    <w:rsid w:val="00352C83"/>
    <w:rsid w:val="003615D2"/>
    <w:rsid w:val="00361F8B"/>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0B"/>
    <w:rsid w:val="00390020"/>
    <w:rsid w:val="003903D6"/>
    <w:rsid w:val="00390EE6"/>
    <w:rsid w:val="0039118F"/>
    <w:rsid w:val="00392AD7"/>
    <w:rsid w:val="003938D9"/>
    <w:rsid w:val="00394376"/>
    <w:rsid w:val="003943FF"/>
    <w:rsid w:val="00395700"/>
    <w:rsid w:val="003974EB"/>
    <w:rsid w:val="00397CC5"/>
    <w:rsid w:val="003A1582"/>
    <w:rsid w:val="003A4077"/>
    <w:rsid w:val="003B015A"/>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6147"/>
    <w:rsid w:val="00407D39"/>
    <w:rsid w:val="0041064D"/>
    <w:rsid w:val="0041477A"/>
    <w:rsid w:val="004167A3"/>
    <w:rsid w:val="0042186B"/>
    <w:rsid w:val="00432DAA"/>
    <w:rsid w:val="0043321A"/>
    <w:rsid w:val="00434305"/>
    <w:rsid w:val="00435DF7"/>
    <w:rsid w:val="0044083F"/>
    <w:rsid w:val="00440D26"/>
    <w:rsid w:val="00441AE7"/>
    <w:rsid w:val="00445574"/>
    <w:rsid w:val="004467FB"/>
    <w:rsid w:val="00452D6B"/>
    <w:rsid w:val="00454484"/>
    <w:rsid w:val="0045517B"/>
    <w:rsid w:val="00457CBE"/>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60B8"/>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4AE3"/>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37DDA"/>
    <w:rsid w:val="00541853"/>
    <w:rsid w:val="00543BDA"/>
    <w:rsid w:val="005441CC"/>
    <w:rsid w:val="005479DA"/>
    <w:rsid w:val="00547BCC"/>
    <w:rsid w:val="0055013B"/>
    <w:rsid w:val="00551F6F"/>
    <w:rsid w:val="00555044"/>
    <w:rsid w:val="00561475"/>
    <w:rsid w:val="00561F7A"/>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28BC"/>
    <w:rsid w:val="005F4712"/>
    <w:rsid w:val="006015CE"/>
    <w:rsid w:val="00604784"/>
    <w:rsid w:val="00606419"/>
    <w:rsid w:val="00607D29"/>
    <w:rsid w:val="00612952"/>
    <w:rsid w:val="00614CC1"/>
    <w:rsid w:val="00615A9D"/>
    <w:rsid w:val="00617387"/>
    <w:rsid w:val="006205D6"/>
    <w:rsid w:val="00621017"/>
    <w:rsid w:val="006252D8"/>
    <w:rsid w:val="006259BC"/>
    <w:rsid w:val="0062636B"/>
    <w:rsid w:val="00632182"/>
    <w:rsid w:val="00632AE0"/>
    <w:rsid w:val="00633C17"/>
    <w:rsid w:val="00634D9E"/>
    <w:rsid w:val="00636E3E"/>
    <w:rsid w:val="006379F7"/>
    <w:rsid w:val="00637E4D"/>
    <w:rsid w:val="00640620"/>
    <w:rsid w:val="00641A1F"/>
    <w:rsid w:val="0064219D"/>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0EF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24D"/>
    <w:rsid w:val="00725949"/>
    <w:rsid w:val="00727FA2"/>
    <w:rsid w:val="007322D9"/>
    <w:rsid w:val="00732BC0"/>
    <w:rsid w:val="00735A7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77BDE"/>
    <w:rsid w:val="0078114B"/>
    <w:rsid w:val="00781DD2"/>
    <w:rsid w:val="00783ECF"/>
    <w:rsid w:val="0078413A"/>
    <w:rsid w:val="00792C25"/>
    <w:rsid w:val="007942F7"/>
    <w:rsid w:val="007959E8"/>
    <w:rsid w:val="00795E9C"/>
    <w:rsid w:val="00797202"/>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07A"/>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22EE"/>
    <w:rsid w:val="008B3615"/>
    <w:rsid w:val="008B4AC4"/>
    <w:rsid w:val="008B50C8"/>
    <w:rsid w:val="008B5281"/>
    <w:rsid w:val="008B7E05"/>
    <w:rsid w:val="008C1797"/>
    <w:rsid w:val="008C219C"/>
    <w:rsid w:val="008C475E"/>
    <w:rsid w:val="008C619A"/>
    <w:rsid w:val="008D0CE8"/>
    <w:rsid w:val="008D2307"/>
    <w:rsid w:val="008D2D1D"/>
    <w:rsid w:val="008D453D"/>
    <w:rsid w:val="008D53AD"/>
    <w:rsid w:val="008D562B"/>
    <w:rsid w:val="008D5733"/>
    <w:rsid w:val="008D622B"/>
    <w:rsid w:val="008D666C"/>
    <w:rsid w:val="008D7B54"/>
    <w:rsid w:val="008E0C9D"/>
    <w:rsid w:val="008E1648"/>
    <w:rsid w:val="008E1B3E"/>
    <w:rsid w:val="008E2319"/>
    <w:rsid w:val="008E4BB6"/>
    <w:rsid w:val="008E5364"/>
    <w:rsid w:val="008E5518"/>
    <w:rsid w:val="008E6A84"/>
    <w:rsid w:val="008F0CDC"/>
    <w:rsid w:val="008F16F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844AC"/>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B7CD3"/>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E7C33"/>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3F66"/>
    <w:rsid w:val="00A648CD"/>
    <w:rsid w:val="00A6537A"/>
    <w:rsid w:val="00A67866"/>
    <w:rsid w:val="00A70B07"/>
    <w:rsid w:val="00A723F8"/>
    <w:rsid w:val="00A756BB"/>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5B2C"/>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5D9E"/>
    <w:rsid w:val="00B56FBE"/>
    <w:rsid w:val="00B60ACF"/>
    <w:rsid w:val="00B62B58"/>
    <w:rsid w:val="00B65149"/>
    <w:rsid w:val="00B66567"/>
    <w:rsid w:val="00B66F52"/>
    <w:rsid w:val="00B66FE5"/>
    <w:rsid w:val="00B72880"/>
    <w:rsid w:val="00B758BF"/>
    <w:rsid w:val="00B77EC8"/>
    <w:rsid w:val="00B827A6"/>
    <w:rsid w:val="00B831CE"/>
    <w:rsid w:val="00B83277"/>
    <w:rsid w:val="00B86677"/>
    <w:rsid w:val="00B87131"/>
    <w:rsid w:val="00B91210"/>
    <w:rsid w:val="00B939B1"/>
    <w:rsid w:val="00B96D40"/>
    <w:rsid w:val="00B97386"/>
    <w:rsid w:val="00BA263B"/>
    <w:rsid w:val="00BA42B2"/>
    <w:rsid w:val="00BA58D4"/>
    <w:rsid w:val="00BA5B9E"/>
    <w:rsid w:val="00BA7C9A"/>
    <w:rsid w:val="00BB203B"/>
    <w:rsid w:val="00BB5F8F"/>
    <w:rsid w:val="00BB657A"/>
    <w:rsid w:val="00BB6BE5"/>
    <w:rsid w:val="00BC1A4E"/>
    <w:rsid w:val="00BC4790"/>
    <w:rsid w:val="00BC5DC7"/>
    <w:rsid w:val="00BC6B8B"/>
    <w:rsid w:val="00BC73D8"/>
    <w:rsid w:val="00BD35EF"/>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6569"/>
    <w:rsid w:val="00C21540"/>
    <w:rsid w:val="00C21906"/>
    <w:rsid w:val="00C21BFA"/>
    <w:rsid w:val="00C22148"/>
    <w:rsid w:val="00C24C8D"/>
    <w:rsid w:val="00C25FE2"/>
    <w:rsid w:val="00C26B00"/>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41D6"/>
    <w:rsid w:val="00C80CB8"/>
    <w:rsid w:val="00C819F8"/>
    <w:rsid w:val="00C8248C"/>
    <w:rsid w:val="00C84E33"/>
    <w:rsid w:val="00C86D6F"/>
    <w:rsid w:val="00C905FC"/>
    <w:rsid w:val="00C92D03"/>
    <w:rsid w:val="00C9319C"/>
    <w:rsid w:val="00C9435D"/>
    <w:rsid w:val="00C94DF2"/>
    <w:rsid w:val="00C96741"/>
    <w:rsid w:val="00CA1C3D"/>
    <w:rsid w:val="00CA2D1B"/>
    <w:rsid w:val="00CA375D"/>
    <w:rsid w:val="00CA662A"/>
    <w:rsid w:val="00CA7AFD"/>
    <w:rsid w:val="00CA7C3C"/>
    <w:rsid w:val="00CB0189"/>
    <w:rsid w:val="00CB01CF"/>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B20"/>
    <w:rsid w:val="00D27EC4"/>
    <w:rsid w:val="00D32719"/>
    <w:rsid w:val="00D33333"/>
    <w:rsid w:val="00D33457"/>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380F"/>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1734F"/>
    <w:rsid w:val="00E202EF"/>
    <w:rsid w:val="00E210B5"/>
    <w:rsid w:val="00E23D99"/>
    <w:rsid w:val="00E2552F"/>
    <w:rsid w:val="00E3137A"/>
    <w:rsid w:val="00E32CCF"/>
    <w:rsid w:val="00E34A98"/>
    <w:rsid w:val="00E35D1E"/>
    <w:rsid w:val="00E364F9"/>
    <w:rsid w:val="00E365FA"/>
    <w:rsid w:val="00E366D8"/>
    <w:rsid w:val="00E36789"/>
    <w:rsid w:val="00E4493B"/>
    <w:rsid w:val="00E44A83"/>
    <w:rsid w:val="00E502C1"/>
    <w:rsid w:val="00E502DD"/>
    <w:rsid w:val="00E50D3A"/>
    <w:rsid w:val="00E51387"/>
    <w:rsid w:val="00E51E68"/>
    <w:rsid w:val="00E52EFD"/>
    <w:rsid w:val="00E5408A"/>
    <w:rsid w:val="00E56800"/>
    <w:rsid w:val="00E60C63"/>
    <w:rsid w:val="00E62FF9"/>
    <w:rsid w:val="00E63115"/>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48F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2ACB"/>
    <w:rsid w:val="00F6412A"/>
    <w:rsid w:val="00F65893"/>
    <w:rsid w:val="00F66A4A"/>
    <w:rsid w:val="00F71E22"/>
    <w:rsid w:val="00F72142"/>
    <w:rsid w:val="00F72AE7"/>
    <w:rsid w:val="00F72C69"/>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7B5"/>
    <w:rsid w:val="00FE7E79"/>
    <w:rsid w:val="00FF03AC"/>
    <w:rsid w:val="00FF3E7D"/>
    <w:rsid w:val="00FF5B99"/>
    <w:rsid w:val="00FF730C"/>
    <w:rsid w:val="00FF73F4"/>
    <w:rsid w:val="00FF7CE4"/>
    <w:rsid w:val="00FF7E39"/>
    <w:rsid w:val="1E7A54E4"/>
    <w:rsid w:val="288E1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0" w:name="toc 8"/>
    <w:lsdException w:uiPriority="0" w:name="toc 9"/>
    <w:lsdException w:unhideWhenUsed="0" w:uiPriority="0" w:semiHidden="0" w:name="Normal Indent"/>
    <w:lsdException w:unhideWhenUsed="0" w:uiPriority="0"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uiPriority w:val="39"/>
    <w:pPr>
      <w:tabs>
        <w:tab w:val="right" w:leader="dot" w:pos="9344"/>
      </w:tabs>
      <w:spacing w:line="300" w:lineRule="exact"/>
      <w:ind w:left="1259"/>
    </w:pPr>
    <w:rPr>
      <w:rFonts w:ascii="宋体"/>
    </w:rPr>
  </w:style>
  <w:style w:type="paragraph" w:styleId="12">
    <w:name w:val="Normal Indent"/>
    <w:basedOn w:val="1"/>
    <w:uiPriority w:val="0"/>
    <w:pPr>
      <w:ind w:firstLine="420"/>
    </w:pPr>
  </w:style>
  <w:style w:type="paragraph" w:styleId="13">
    <w:name w:val="Body Text"/>
    <w:basedOn w:val="1"/>
    <w:link w:val="86"/>
    <w:uiPriority w:val="0"/>
    <w:pPr>
      <w:spacing w:after="120"/>
    </w:pPr>
  </w:style>
  <w:style w:type="paragraph" w:styleId="14">
    <w:name w:val="toc 5"/>
    <w:basedOn w:val="1"/>
    <w:next w:val="1"/>
    <w:autoRedefine/>
    <w:unhideWhenUsed/>
    <w:uiPriority w:val="39"/>
    <w:pPr>
      <w:ind w:left="839"/>
    </w:pPr>
    <w:rPr>
      <w:rFonts w:ascii="宋体"/>
    </w:rPr>
  </w:style>
  <w:style w:type="paragraph" w:styleId="15">
    <w:name w:val="toc 3"/>
    <w:basedOn w:val="1"/>
    <w:next w:val="1"/>
    <w:autoRedefine/>
    <w:unhideWhenUsed/>
    <w:uiPriority w:val="39"/>
    <w:pPr>
      <w:spacing w:line="300" w:lineRule="exact"/>
      <w:ind w:left="420"/>
    </w:pPr>
    <w:rPr>
      <w:rFonts w:ascii="宋体"/>
    </w:rPr>
  </w:style>
  <w:style w:type="paragraph" w:styleId="16">
    <w:name w:val="Balloon Text"/>
    <w:basedOn w:val="1"/>
    <w:link w:val="45"/>
    <w:semiHidden/>
    <w:unhideWhenUsed/>
    <w:uiPriority w:val="99"/>
    <w:rPr>
      <w:sz w:val="18"/>
      <w:szCs w:val="18"/>
    </w:rPr>
  </w:style>
  <w:style w:type="paragraph" w:styleId="17">
    <w:name w:val="footer"/>
    <w:basedOn w:val="1"/>
    <w:link w:val="44"/>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uiPriority w:val="39"/>
    <w:rPr>
      <w:rFonts w:ascii="宋体"/>
    </w:rPr>
  </w:style>
  <w:style w:type="paragraph" w:styleId="20">
    <w:name w:val="toc 4"/>
    <w:basedOn w:val="1"/>
    <w:next w:val="1"/>
    <w:autoRedefine/>
    <w:unhideWhenUsed/>
    <w:uiPriority w:val="39"/>
    <w:pPr>
      <w:tabs>
        <w:tab w:val="right" w:leader="dot" w:pos="9344"/>
      </w:tabs>
      <w:spacing w:line="300" w:lineRule="exact"/>
      <w:ind w:left="629"/>
    </w:pPr>
    <w:rPr>
      <w:rFonts w:ascii="宋体"/>
    </w:rPr>
  </w:style>
  <w:style w:type="paragraph" w:styleId="21">
    <w:name w:val="footnote text"/>
    <w:basedOn w:val="1"/>
    <w:next w:val="1"/>
    <w:link w:val="99"/>
    <w:semiHidden/>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uiPriority w:val="39"/>
    <w:pPr>
      <w:spacing w:line="300" w:lineRule="exact"/>
      <w:ind w:left="1049"/>
    </w:pPr>
    <w:rPr>
      <w:rFonts w:ascii="宋体"/>
    </w:rPr>
  </w:style>
  <w:style w:type="paragraph" w:styleId="23">
    <w:name w:val="table of figures"/>
    <w:basedOn w:val="1"/>
    <w:next w:val="1"/>
    <w:semiHidden/>
    <w:uiPriority w:val="0"/>
    <w:pPr>
      <w:adjustRightInd/>
      <w:spacing w:line="240" w:lineRule="auto"/>
      <w:jc w:val="left"/>
    </w:pPr>
    <w:rPr>
      <w:szCs w:val="24"/>
    </w:rPr>
  </w:style>
  <w:style w:type="paragraph" w:styleId="24">
    <w:name w:val="toc 2"/>
    <w:basedOn w:val="1"/>
    <w:next w:val="1"/>
    <w:autoRedefine/>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uiPriority w:val="0"/>
    <w:pPr>
      <w:spacing w:line="440" w:lineRule="exact"/>
      <w:jc w:val="center"/>
    </w:pPr>
    <w:rPr>
      <w:sz w:val="28"/>
    </w:rPr>
  </w:style>
  <w:style w:type="paragraph" w:customStyle="1" w:styleId="107">
    <w:name w:val="标准文件_引言标题"/>
    <w:next w:val="1"/>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uiPriority w:val="0"/>
    <w:pPr>
      <w:outlineLvl w:val="4"/>
    </w:pPr>
  </w:style>
  <w:style w:type="paragraph" w:customStyle="1" w:styleId="130">
    <w:name w:val="附录四级无标题条"/>
    <w:basedOn w:val="129"/>
    <w:next w:val="56"/>
    <w:uiPriority w:val="0"/>
    <w:pPr>
      <w:outlineLvl w:val="5"/>
    </w:pPr>
  </w:style>
  <w:style w:type="paragraph" w:customStyle="1" w:styleId="131">
    <w:name w:val="附录图"/>
    <w:next w:val="56"/>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uiPriority w:val="0"/>
    <w:pPr>
      <w:outlineLvl w:val="6"/>
    </w:pPr>
  </w:style>
  <w:style w:type="paragraph" w:customStyle="1" w:styleId="134">
    <w:name w:val="附录性质"/>
    <w:basedOn w:val="1"/>
    <w:uiPriority w:val="0"/>
    <w:pPr>
      <w:widowControl/>
      <w:adjustRightInd/>
      <w:jc w:val="center"/>
    </w:pPr>
    <w:rPr>
      <w:rFonts w:ascii="黑体" w:eastAsia="黑体"/>
    </w:rPr>
  </w:style>
  <w:style w:type="paragraph" w:customStyle="1" w:styleId="135">
    <w:name w:val="附录一级无标题条"/>
    <w:basedOn w:val="87"/>
    <w:next w:val="56"/>
    <w:uiPriority w:val="0"/>
    <w:pPr>
      <w:autoSpaceDN w:val="0"/>
      <w:outlineLvl w:val="2"/>
    </w:pPr>
    <w:rPr>
      <w:rFonts w:ascii="宋体" w:hAnsi="宋体" w:eastAsia="宋体"/>
    </w:rPr>
  </w:style>
  <w:style w:type="character" w:customStyle="1" w:styleId="136">
    <w:name w:val="个人答复风格"/>
    <w:uiPriority w:val="0"/>
    <w:rPr>
      <w:rFonts w:ascii="Arial" w:hAnsi="Arial" w:eastAsia="宋体" w:cs="Arial"/>
      <w:color w:val="auto"/>
      <w:spacing w:val="0"/>
      <w:sz w:val="20"/>
    </w:rPr>
  </w:style>
  <w:style w:type="character" w:customStyle="1" w:styleId="137">
    <w:name w:val="个人撰写风格"/>
    <w:uiPriority w:val="0"/>
    <w:rPr>
      <w:rFonts w:ascii="Arial" w:hAnsi="Arial" w:eastAsia="宋体" w:cs="Arial"/>
      <w:color w:val="auto"/>
      <w:spacing w:val="0"/>
      <w:sz w:val="20"/>
    </w:rPr>
  </w:style>
  <w:style w:type="paragraph" w:customStyle="1" w:styleId="138">
    <w:name w:val="脚注后续"/>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uiPriority w:val="0"/>
    <w:pPr>
      <w:tabs>
        <w:tab w:val="left" w:pos="840"/>
      </w:tabs>
    </w:pPr>
  </w:style>
  <w:style w:type="paragraph" w:customStyle="1" w:styleId="141">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uiPriority w:val="0"/>
    <w:pPr>
      <w:adjustRightInd/>
      <w:spacing w:line="240" w:lineRule="auto"/>
      <w:jc w:val="left"/>
    </w:pPr>
    <w:rPr>
      <w:bCs/>
      <w:iCs/>
    </w:rPr>
  </w:style>
  <w:style w:type="paragraph" w:customStyle="1" w:styleId="143">
    <w:name w:val="目录 31"/>
    <w:basedOn w:val="1"/>
    <w:next w:val="1"/>
    <w:autoRedefine/>
    <w:semiHidden/>
    <w:uiPriority w:val="0"/>
    <w:pPr>
      <w:spacing w:line="240" w:lineRule="auto"/>
    </w:pPr>
    <w:rPr>
      <w:rFonts w:ascii="宋体" w:hAnsi="宋体"/>
      <w:iCs/>
    </w:rPr>
  </w:style>
  <w:style w:type="paragraph" w:customStyle="1" w:styleId="144">
    <w:name w:val="目录 41"/>
    <w:basedOn w:val="1"/>
    <w:next w:val="1"/>
    <w:autoRedefine/>
    <w:semiHidden/>
    <w:uiPriority w:val="0"/>
    <w:pPr>
      <w:adjustRightInd/>
      <w:spacing w:line="240" w:lineRule="auto"/>
      <w:jc w:val="left"/>
    </w:pPr>
  </w:style>
  <w:style w:type="paragraph" w:customStyle="1" w:styleId="145">
    <w:name w:val="目录 51"/>
    <w:basedOn w:val="1"/>
    <w:next w:val="1"/>
    <w:autoRedefine/>
    <w:semiHidden/>
    <w:uiPriority w:val="0"/>
    <w:pPr>
      <w:spacing w:line="240" w:lineRule="auto"/>
    </w:pPr>
    <w:rPr>
      <w:rFonts w:ascii="宋体" w:hAnsi="宋体"/>
    </w:rPr>
  </w:style>
  <w:style w:type="paragraph" w:customStyle="1" w:styleId="146">
    <w:name w:val="目录 61"/>
    <w:basedOn w:val="1"/>
    <w:next w:val="1"/>
    <w:autoRedefine/>
    <w:semiHidden/>
    <w:uiPriority w:val="0"/>
    <w:pPr>
      <w:adjustRightInd/>
      <w:spacing w:line="240" w:lineRule="auto"/>
      <w:jc w:val="left"/>
    </w:pPr>
  </w:style>
  <w:style w:type="paragraph" w:customStyle="1" w:styleId="147">
    <w:name w:val="目录 71"/>
    <w:basedOn w:val="146"/>
    <w:autoRedefine/>
    <w:semiHidden/>
    <w:uiPriority w:val="0"/>
    <w:pPr>
      <w:ind w:left="1260"/>
    </w:pPr>
  </w:style>
  <w:style w:type="paragraph" w:customStyle="1" w:styleId="148">
    <w:name w:val="目录 81"/>
    <w:basedOn w:val="147"/>
    <w:autoRedefine/>
    <w:semiHidden/>
    <w:uiPriority w:val="0"/>
    <w:pPr>
      <w:ind w:left="1470"/>
    </w:pPr>
  </w:style>
  <w:style w:type="paragraph" w:customStyle="1" w:styleId="149">
    <w:name w:val="目录 91"/>
    <w:basedOn w:val="148"/>
    <w:autoRedefine/>
    <w:semiHidden/>
    <w:uiPriority w:val="0"/>
    <w:pPr>
      <w:ind w:left="1680"/>
    </w:pPr>
  </w:style>
  <w:style w:type="paragraph" w:customStyle="1" w:styleId="150">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uiPriority w:val="0"/>
    <w:pPr>
      <w:framePr w:wrap="around"/>
      <w:spacing w:line="0" w:lineRule="atLeast"/>
    </w:pPr>
    <w:rPr>
      <w:rFonts w:ascii="黑体" w:eastAsia="黑体"/>
      <w:b w:val="0"/>
    </w:rPr>
  </w:style>
  <w:style w:type="paragraph" w:customStyle="1" w:styleId="152">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uiPriority w:val="0"/>
    <w:pPr>
      <w:numPr>
        <w:ilvl w:val="4"/>
        <w:numId w:val="20"/>
      </w:numPr>
      <w:adjustRightInd/>
      <w:spacing w:line="240" w:lineRule="auto"/>
    </w:pPr>
    <w:rPr>
      <w:rFonts w:ascii="宋体" w:hAnsi="宋体"/>
      <w:szCs w:val="24"/>
    </w:rPr>
  </w:style>
  <w:style w:type="paragraph" w:customStyle="1" w:styleId="154">
    <w:name w:val="实施日期"/>
    <w:basedOn w:val="120"/>
    <w:uiPriority w:val="0"/>
    <w:pPr>
      <w:framePr w:hSpace="0" w:wrap="around" w:xAlign="right"/>
      <w:jc w:val="right"/>
    </w:pPr>
  </w:style>
  <w:style w:type="paragraph" w:customStyle="1" w:styleId="155">
    <w:name w:val="四级无标题条"/>
    <w:basedOn w:val="1"/>
    <w:uiPriority w:val="0"/>
    <w:pPr>
      <w:numPr>
        <w:ilvl w:val="5"/>
        <w:numId w:val="20"/>
      </w:numPr>
      <w:adjustRightInd/>
      <w:spacing w:line="240" w:lineRule="auto"/>
    </w:pPr>
    <w:rPr>
      <w:rFonts w:ascii="宋体" w:hAnsi="宋体"/>
      <w:szCs w:val="24"/>
    </w:rPr>
  </w:style>
  <w:style w:type="paragraph" w:customStyle="1" w:styleId="156">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uiPriority w:val="0"/>
    <w:pPr>
      <w:jc w:val="both"/>
    </w:pPr>
    <w:rPr>
      <w:rFonts w:ascii="宋体" w:hAnsi="宋体" w:eastAsia="宋体" w:cs="Times New Roman"/>
      <w:sz w:val="21"/>
      <w:lang w:val="en-US" w:eastAsia="zh-CN" w:bidi="ar-SA"/>
    </w:rPr>
  </w:style>
  <w:style w:type="paragraph" w:customStyle="1" w:styleId="158">
    <w:name w:val="五级无标题条"/>
    <w:basedOn w:val="1"/>
    <w:uiPriority w:val="0"/>
    <w:pPr>
      <w:numPr>
        <w:ilvl w:val="6"/>
        <w:numId w:val="20"/>
      </w:numPr>
      <w:adjustRightInd/>
    </w:pPr>
    <w:rPr>
      <w:szCs w:val="24"/>
    </w:rPr>
  </w:style>
  <w:style w:type="paragraph" w:customStyle="1" w:styleId="159">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60">
    <w:name w:val="注:后续"/>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wrap="around" w:vAnchor="page" w:hAnchor="page" w:x="1419" w:y="14097"/>
    </w:pPr>
  </w:style>
  <w:style w:type="paragraph" w:customStyle="1" w:styleId="194">
    <w:name w:val="其他实施日期"/>
    <w:basedOn w:val="154"/>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5C5679BC6BF451393A5635E09692BF8"/>
        <w:style w:val=""/>
        <w:category>
          <w:name w:val="常规"/>
          <w:gallery w:val="placeholder"/>
        </w:category>
        <w:types>
          <w:type w:val="bbPlcHdr"/>
        </w:types>
        <w:behaviors>
          <w:behavior w:val="content"/>
        </w:behaviors>
        <w:description w:val=""/>
        <w:guid w:val="{12994DCD-B461-444C-B043-BC53B58D4CB7}"/>
      </w:docPartPr>
      <w:docPartBody>
        <w:p w14:paraId="05B91231">
          <w:pPr>
            <w:pStyle w:val="5"/>
            <w:rPr>
              <w:rFonts w:hint="eastAsia"/>
            </w:rPr>
          </w:pPr>
          <w:r>
            <w:rPr>
              <w:rStyle w:val="4"/>
              <w:rFonts w:hint="eastAsia"/>
            </w:rPr>
            <w:t>单击或点击此处输入文字。</w:t>
          </w:r>
        </w:p>
      </w:docPartBody>
    </w:docPart>
    <w:docPart>
      <w:docPartPr>
        <w:name w:val="B4169FE0D2654F23A43AED82098F7FB0"/>
        <w:style w:val=""/>
        <w:category>
          <w:name w:val="常规"/>
          <w:gallery w:val="placeholder"/>
        </w:category>
        <w:types>
          <w:type w:val="bbPlcHdr"/>
        </w:types>
        <w:behaviors>
          <w:behavior w:val="content"/>
        </w:behaviors>
        <w:description w:val=""/>
        <w:guid w:val="{51977661-12F9-43B9-8F05-3D6E4F9E9D27}"/>
      </w:docPartPr>
      <w:docPartBody>
        <w:p w14:paraId="59981B16">
          <w:pPr>
            <w:pStyle w:val="6"/>
            <w:rPr>
              <w:rFonts w:hint="eastAsia"/>
            </w:rPr>
          </w:pPr>
          <w:r>
            <w:rPr>
              <w:rStyle w:val="4"/>
              <w:rFonts w:hint="eastAsia"/>
            </w:rPr>
            <w:t>选择一项。</w:t>
          </w:r>
        </w:p>
      </w:docPartBody>
    </w:docPart>
    <w:docPart>
      <w:docPartPr>
        <w:name w:val="8934CFFB69994FB380DD1A27D04433B6"/>
        <w:style w:val=""/>
        <w:category>
          <w:name w:val="常规"/>
          <w:gallery w:val="placeholder"/>
        </w:category>
        <w:types>
          <w:type w:val="bbPlcHdr"/>
        </w:types>
        <w:behaviors>
          <w:behavior w:val="content"/>
        </w:behaviors>
        <w:description w:val=""/>
        <w:guid w:val="{EB632131-45B4-407D-9C33-29D367743DC5}"/>
      </w:docPartPr>
      <w:docPartBody>
        <w:p w14:paraId="0E734C79">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CC1"/>
    <w:rsid w:val="00130C1A"/>
    <w:rsid w:val="00181DC6"/>
    <w:rsid w:val="002C565F"/>
    <w:rsid w:val="002F6EEC"/>
    <w:rsid w:val="00304DDD"/>
    <w:rsid w:val="00341CC1"/>
    <w:rsid w:val="003B015A"/>
    <w:rsid w:val="003D77FC"/>
    <w:rsid w:val="0041064D"/>
    <w:rsid w:val="005F323E"/>
    <w:rsid w:val="00621017"/>
    <w:rsid w:val="006B1062"/>
    <w:rsid w:val="006F2943"/>
    <w:rsid w:val="007F4F4F"/>
    <w:rsid w:val="00813A1D"/>
    <w:rsid w:val="00AE7F12"/>
    <w:rsid w:val="00BC0C32"/>
    <w:rsid w:val="00C56577"/>
    <w:rsid w:val="00CC310D"/>
    <w:rsid w:val="00CC3A36"/>
    <w:rsid w:val="00D27B20"/>
    <w:rsid w:val="00DA7C43"/>
    <w:rsid w:val="00E1734F"/>
    <w:rsid w:val="00FB7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5C5679BC6BF451393A5635E09692BF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B4169FE0D2654F23A43AED82098F7FB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8934CFFB69994FB380DD1A27D04433B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10</Pages>
  <Words>4148</Words>
  <Characters>4655</Characters>
  <Lines>376</Lines>
  <Paragraphs>506</Paragraphs>
  <TotalTime>236</TotalTime>
  <ScaleCrop>false</ScaleCrop>
  <LinksUpToDate>false</LinksUpToDate>
  <CharactersWithSpaces>4859</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2024-05-06T07:35:00Z</dcterms:created>
  <dc:creator>徐志荣</dc:creator>
  <dc:description>&lt;config cover="true" show_menu="true" version="1.0.0" doctype="SDKXY"&gt;_x000d_
&lt;/config&gt;</dc:description>
  <cp:lastModifiedBy>徐志荣</cp:lastModifiedBy>
  <cp:lastPrinted>2025-06-09T02:05:00Z</cp:lastPrinted>
  <dcterms:modified xsi:type="dcterms:W3CDTF">2026-07-25T07:52:23Z</dcterms:modified>
  <dc:title>地方标准</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eyJoZGlkIjoiYTQ1MmY2MjM4ODc5MTE1NjE4NzQ5OTEyNjkzYjE5MDkiLCJ1c2VySWQiOiI0MTQ3OTMzNjMifQ==</vt:lpwstr>
  </property>
  <property fmtid="{D5CDD505-2E9C-101B-9397-08002B2CF9AE}" pid="15" name="KSOProductBuildVer">
    <vt:lpwstr>2052-12.1.0.26885</vt:lpwstr>
  </property>
  <property fmtid="{D5CDD505-2E9C-101B-9397-08002B2CF9AE}" pid="16" name="ICV">
    <vt:lpwstr>731950C4457D4938BF56BC3C6FAD03AB_12</vt:lpwstr>
  </property>
</Properties>
</file>