
<file path=[Content_Types].xml><?xml version="1.0" encoding="utf-8"?>
<Types xmlns="http://schemas.openxmlformats.org/package/2006/content-types">
  <Default Extension="xml" ContentType="application/xml"/>
  <Default Extension="tiff" ContentType="image/tiff"/>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Microsoft_Visio___1.vsdx" ContentType="application/vnd.ms-visio.drawing"/>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7"/>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14:paraId="0ED51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7077633E">
            <w:pPr>
              <w:pStyle w:val="18"/>
              <w:framePr w:wrap="notBeside" w:vAnchor="page" w:hAnchor="page" w:x="1372" w:y="568"/>
              <w:tabs>
                <w:tab w:val="clear" w:pos="4153"/>
                <w:tab w:val="clear" w:pos="8306"/>
              </w:tabs>
              <w:spacing w:line="240" w:lineRule="auto"/>
              <w:jc w:val="left"/>
              <w:rPr>
                <w:rFonts w:hint="eastAsia"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14:paraId="2F27397C">
            <w:pPr>
              <w:pStyle w:val="18"/>
              <w:framePr w:wrap="notBeside" w:vAnchor="page" w:hAnchor="page" w:x="1372" w:y="568"/>
              <w:tabs>
                <w:tab w:val="clear" w:pos="4153"/>
                <w:tab w:val="clear" w:pos="8306"/>
              </w:tabs>
              <w:spacing w:line="240" w:lineRule="auto"/>
              <w:jc w:val="both"/>
              <w:rPr>
                <w:rFonts w:hint="eastAsia"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 xml:space="preserve"> </w:t>
            </w:r>
            <w:r>
              <w:rPr>
                <w:rFonts w:ascii="黑体" w:hAnsi="黑体" w:eastAsia="黑体"/>
                <w:sz w:val="21"/>
                <w:szCs w:val="21"/>
              </w:rPr>
              <w:fldChar w:fldCharType="end"/>
            </w:r>
            <w:bookmarkEnd w:id="0"/>
            <w:r>
              <w:rPr>
                <w:rFonts w:ascii="黑体" w:hAnsi="黑体" w:eastAsia="黑体"/>
                <w:sz w:val="21"/>
                <w:szCs w:val="21"/>
              </w:rPr>
              <w:t>13.030.10</w:t>
            </w:r>
          </w:p>
        </w:tc>
      </w:tr>
      <w:tr w14:paraId="19429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20B4D9D0">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14:paraId="5514C7D1">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黑体" w:hAnsi="黑体" w:eastAsia="黑体"/>
                <w:sz w:val="21"/>
                <w:szCs w:val="21"/>
              </w:rPr>
              <w:t>W06</w:t>
            </w:r>
          </w:p>
        </w:tc>
      </w:tr>
    </w:tbl>
    <w:tbl>
      <w:tblPr>
        <w:tblStyle w:val="27"/>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14:paraId="6F2D455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tcPr>
          <w:p w14:paraId="2A147DDD">
            <w:pPr>
              <w:pStyle w:val="49"/>
              <w:framePr w:w="0" w:hRule="auto" w:wrap="auto" w:vAnchor="margin" w:hAnchor="text" w:xAlign="left" w:yAlign="inline"/>
              <w:rPr>
                <w:rFonts w:hint="eastAsia" w:ascii="宋体" w:hAnsi="宋体"/>
                <w:sz w:val="28"/>
                <w:szCs w:val="28"/>
              </w:rPr>
            </w:pPr>
            <w:bookmarkStart w:id="1"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2" w:name="c1"/>
            <w:r>
              <w:instrText xml:space="preserve"> FORMTEXT </w:instrText>
            </w:r>
            <w:r>
              <w:fldChar w:fldCharType="separate"/>
            </w:r>
            <w:r>
              <w:t>33</w:t>
            </w:r>
            <w:r>
              <w:fldChar w:fldCharType="end"/>
            </w:r>
            <w:bookmarkEnd w:id="2"/>
          </w:p>
        </w:tc>
      </w:tr>
    </w:tbl>
    <w:p w14:paraId="36C96A47">
      <w:pPr>
        <w:pStyle w:val="50"/>
        <w:framePr w:w="9639" w:h="624" w:hRule="exact" w:hSpace="181" w:vSpace="181" w:wrap="around" w:hAnchor="page" w:x="1305" w:y="2269"/>
        <w:rPr>
          <w:rFonts w:hint="eastAsia"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3"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长江三角洲区域</w:t>
      </w:r>
      <w:r>
        <w:rPr>
          <w:rFonts w:ascii="黑体" w:eastAsia="黑体"/>
          <w:b w:val="0"/>
          <w:w w:val="100"/>
          <w:sz w:val="48"/>
        </w:rPr>
        <w:fldChar w:fldCharType="end"/>
      </w:r>
      <w:bookmarkEnd w:id="3"/>
      <w:r>
        <w:rPr>
          <w:rFonts w:hint="eastAsia" w:ascii="黑体" w:hAnsi="黑体" w:eastAsia="黑体"/>
          <w:b w:val="0"/>
          <w:bCs w:val="0"/>
          <w:w w:val="100"/>
          <w:sz w:val="48"/>
          <w:szCs w:val="48"/>
        </w:rPr>
        <w:t>地方标准</w:t>
      </w:r>
    </w:p>
    <w:bookmarkEnd w:id="1"/>
    <w:p w14:paraId="67FEF9A3">
      <w:pPr>
        <w:pStyle w:val="195"/>
        <w:framePr w:h="1591" w:hRule="exact"/>
        <w:rPr>
          <w:lang w:val="fr-FR"/>
        </w:rPr>
      </w:pPr>
      <w:r>
        <w:rPr>
          <w:lang w:val="fr-FR"/>
        </w:rPr>
        <w:t>DB 31/T 310XXX—XXXX</w:t>
      </w:r>
    </w:p>
    <w:p w14:paraId="3BBBC5DF">
      <w:pPr>
        <w:pStyle w:val="195"/>
        <w:framePr w:h="1591" w:hRule="exact"/>
        <w:rPr>
          <w:lang w:val="fr-FR"/>
        </w:rPr>
      </w:pPr>
      <w:r>
        <w:rPr>
          <w:lang w:val="fr-FR"/>
        </w:rPr>
        <w:t>DB 32/T 310XXX—XXXX</w:t>
      </w:r>
    </w:p>
    <w:p w14:paraId="2DA2C5D1">
      <w:pPr>
        <w:pStyle w:val="195"/>
        <w:framePr w:h="1591" w:hRule="exact"/>
        <w:rPr>
          <w:lang w:val="fr-FR"/>
        </w:rPr>
      </w:pPr>
      <w:r>
        <w:rPr>
          <w:lang w:val="fr-FR"/>
        </w:rPr>
        <w:t>DB 33/T 310XXX—XXXX</w:t>
      </w:r>
    </w:p>
    <w:p w14:paraId="588BB98B">
      <w:pPr>
        <w:pStyle w:val="195"/>
        <w:framePr w:h="1591" w:hRule="exact"/>
        <w:rPr>
          <w:lang w:val="fr-FR"/>
        </w:rPr>
      </w:pPr>
      <w:r>
        <w:rPr>
          <w:lang w:val="fr-FR"/>
        </w:rPr>
        <w:t>DB 34/T 310XXX—XXXX</w:t>
      </w:r>
    </w:p>
    <w:p w14:paraId="0359E271">
      <w:pPr>
        <w:pStyle w:val="196"/>
        <w:framePr w:h="1591" w:hRule="exact"/>
        <w:rPr>
          <w:rFonts w:hint="eastAsia" w:hAnsi="黑体"/>
        </w:rPr>
      </w:pPr>
      <w:r>
        <w:rPr>
          <w:rFonts w:hAnsi="黑体"/>
        </w:rPr>
        <w:fldChar w:fldCharType="begin">
          <w:ffData>
            <w:name w:val="OSTD_CODE"/>
            <w:enabled/>
            <w:calcOnExit w:val="0"/>
            <w:textInput/>
          </w:ffData>
        </w:fldChar>
      </w:r>
      <w:bookmarkStart w:id="4"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4"/>
    </w:p>
    <w:p w14:paraId="2A50AD78">
      <w:pPr>
        <w:spacing w:line="240" w:lineRule="auto"/>
        <w:rPr>
          <w:rFonts w:hint="eastAsia" w:ascii="黑体" w:hAnsi="黑体" w:eastAsia="黑体"/>
          <w:kern w:val="0"/>
          <w:sz w:val="10"/>
          <w:szCs w:val="10"/>
        </w:rPr>
      </w:pPr>
    </w:p>
    <w:p w14:paraId="741B92B5">
      <w:pPr>
        <w:pStyle w:val="50"/>
        <w:framePr w:w="9639" w:h="6976" w:hRule="exact" w:hSpace="0" w:vSpace="0" w:wrap="around" w:hAnchor="page" w:y="6408"/>
        <w:jc w:val="center"/>
        <w:rPr>
          <w:rFonts w:hint="eastAsia" w:ascii="黑体" w:hAnsi="黑体" w:eastAsia="黑体"/>
          <w:b w:val="0"/>
          <w:bCs w:val="0"/>
          <w:w w:val="100"/>
        </w:rPr>
      </w:pPr>
    </w:p>
    <w:p w14:paraId="60D819D8">
      <w:pPr>
        <w:pStyle w:val="197"/>
        <w:framePr w:h="6974" w:hRule="exact" w:wrap="around" w:x="1419" w:anchorLock="1"/>
        <w:rPr>
          <w:rFonts w:hint="eastAsia"/>
        </w:rPr>
      </w:pPr>
      <w:r>
        <w:fldChar w:fldCharType="begin">
          <w:ffData>
            <w:name w:val="CSTD_NAME"/>
            <w:enabled/>
            <w:calcOnExit w:val="0"/>
            <w:textInput>
              <w:default w:val="点击此处添加标准名称"/>
            </w:textInput>
          </w:ffData>
        </w:fldChar>
      </w:r>
      <w:bookmarkStart w:id="5" w:name="CSTD_NAME"/>
      <w:r>
        <w:instrText xml:space="preserve"> FORMTEXT </w:instrText>
      </w:r>
      <w:r>
        <w:fldChar w:fldCharType="separate"/>
      </w:r>
      <w:r>
        <w:t>废水碳源综合利用管理</w:t>
      </w:r>
      <w:r>
        <w:rPr>
          <w:rFonts w:hint="eastAsia"/>
        </w:rPr>
        <w:t>与</w:t>
      </w:r>
      <w:r>
        <w:t>技术指南</w:t>
      </w:r>
    </w:p>
    <w:p w14:paraId="5D64697B">
      <w:pPr>
        <w:pStyle w:val="197"/>
        <w:framePr w:h="6974" w:hRule="exact" w:wrap="around" w:x="1419" w:anchorLock="1"/>
        <w:rPr>
          <w:rFonts w:hint="eastAsia"/>
        </w:rPr>
      </w:pPr>
      <w:r>
        <w:t>第2部分：</w:t>
      </w:r>
      <w:r>
        <w:rPr>
          <w:rFonts w:hint="eastAsia"/>
        </w:rPr>
        <w:t>评估技术导则</w:t>
      </w:r>
      <w:r>
        <w:fldChar w:fldCharType="end"/>
      </w:r>
      <w:bookmarkEnd w:id="5"/>
    </w:p>
    <w:p w14:paraId="702F70BE">
      <w:pPr>
        <w:framePr w:w="9639" w:h="6974" w:hRule="exact" w:wrap="around" w:vAnchor="page" w:hAnchor="page" w:x="1419" w:y="6408" w:anchorLock="1"/>
        <w:ind w:left="-1418"/>
      </w:pPr>
    </w:p>
    <w:p w14:paraId="670519CA">
      <w:pPr>
        <w:pStyle w:val="125"/>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6" w:name="ESTD_NAME"/>
      <w:r>
        <w:rPr>
          <w:rFonts w:eastAsia="黑体"/>
          <w:szCs w:val="28"/>
        </w:rPr>
        <w:instrText xml:space="preserve"> FORMTEXT </w:instrText>
      </w:r>
      <w:r>
        <w:rPr>
          <w:rFonts w:eastAsia="黑体"/>
          <w:szCs w:val="28"/>
        </w:rPr>
        <w:fldChar w:fldCharType="separate"/>
      </w:r>
      <w:r>
        <w:rPr>
          <w:rFonts w:eastAsia="黑体"/>
          <w:szCs w:val="28"/>
        </w:rPr>
        <w:t xml:space="preserve">Technical </w:t>
      </w:r>
      <w:r>
        <w:rPr>
          <w:rFonts w:hint="eastAsia" w:eastAsia="黑体"/>
          <w:szCs w:val="28"/>
        </w:rPr>
        <w:t>and</w:t>
      </w:r>
      <w:r>
        <w:rPr>
          <w:rFonts w:eastAsia="黑体"/>
          <w:szCs w:val="28"/>
        </w:rPr>
        <w:t xml:space="preserve"> management Guidelines for the comprehensive utilization of wastewater as a carbon source</w:t>
      </w:r>
    </w:p>
    <w:p w14:paraId="49BB4275">
      <w:pPr>
        <w:pStyle w:val="125"/>
        <w:framePr w:w="9639" w:h="6974" w:hRule="exact" w:wrap="around" w:vAnchor="page" w:hAnchor="page" w:x="1419" w:y="6408" w:anchorLock="1"/>
        <w:textAlignment w:val="bottom"/>
        <w:rPr>
          <w:rFonts w:eastAsia="黑体"/>
          <w:szCs w:val="28"/>
        </w:rPr>
      </w:pPr>
      <w:r>
        <w:rPr>
          <w:rFonts w:eastAsia="黑体"/>
          <w:szCs w:val="28"/>
        </w:rPr>
        <w:t xml:space="preserve">part 2: </w:t>
      </w:r>
      <w:r>
        <w:rPr>
          <w:rFonts w:hint="eastAsia" w:eastAsia="黑体"/>
          <w:szCs w:val="28"/>
        </w:rPr>
        <w:t>g</w:t>
      </w:r>
      <w:r>
        <w:rPr>
          <w:rFonts w:eastAsia="黑体"/>
          <w:szCs w:val="28"/>
        </w:rPr>
        <w:t>uidelines for assessment</w:t>
      </w:r>
      <w:r>
        <w:rPr>
          <w:rFonts w:eastAsia="黑体"/>
          <w:szCs w:val="28"/>
        </w:rPr>
        <w:fldChar w:fldCharType="end"/>
      </w:r>
      <w:bookmarkEnd w:id="6"/>
    </w:p>
    <w:p w14:paraId="2FF167CF">
      <w:pPr>
        <w:framePr w:w="9639" w:h="6974" w:hRule="exact" w:wrap="around" w:vAnchor="page" w:hAnchor="page" w:x="1419" w:y="6408" w:anchorLock="1"/>
        <w:spacing w:line="760" w:lineRule="exact"/>
        <w:ind w:left="-1418"/>
      </w:pPr>
    </w:p>
    <w:p w14:paraId="5B2839DA">
      <w:pPr>
        <w:pStyle w:val="125"/>
        <w:framePr w:w="9639" w:h="6974" w:hRule="exact" w:wrap="around" w:vAnchor="page" w:hAnchor="page" w:x="1419" w:y="6408" w:anchorLock="1"/>
        <w:textAlignment w:val="bottom"/>
        <w:rPr>
          <w:rFonts w:eastAsia="黑体"/>
          <w:szCs w:val="28"/>
        </w:rPr>
      </w:pPr>
    </w:p>
    <w:p w14:paraId="31404F3E">
      <w:pPr>
        <w:pStyle w:val="125"/>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7" w:name="下拉1"/>
      <w:r>
        <w:rPr>
          <w:sz w:val="24"/>
          <w:szCs w:val="28"/>
        </w:rPr>
        <w:instrText xml:space="preserve"> FORMDROPDOWN </w:instrText>
      </w:r>
      <w:r>
        <w:rPr>
          <w:sz w:val="24"/>
          <w:szCs w:val="28"/>
        </w:rPr>
        <w:fldChar w:fldCharType="separate"/>
      </w:r>
      <w:r>
        <w:rPr>
          <w:sz w:val="24"/>
          <w:szCs w:val="28"/>
        </w:rPr>
        <w:fldChar w:fldCharType="end"/>
      </w:r>
      <w:bookmarkEnd w:id="7"/>
    </w:p>
    <w:p w14:paraId="0B2CB858">
      <w:pPr>
        <w:pStyle w:val="125"/>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8"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8"/>
    </w:p>
    <w:p w14:paraId="4DA8D1FF">
      <w:pPr>
        <w:pStyle w:val="125"/>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9" w:name="下拉2"/>
      <w:r>
        <w:rPr>
          <w:b/>
          <w:sz w:val="21"/>
          <w:szCs w:val="28"/>
        </w:rPr>
        <w:instrText xml:space="preserve"> FORMDROPDOWN </w:instrText>
      </w:r>
      <w:r>
        <w:rPr>
          <w:b/>
          <w:sz w:val="21"/>
          <w:szCs w:val="28"/>
        </w:rPr>
        <w:fldChar w:fldCharType="separate"/>
      </w:r>
      <w:r>
        <w:rPr>
          <w:b/>
          <w:sz w:val="21"/>
          <w:szCs w:val="28"/>
        </w:rPr>
        <w:fldChar w:fldCharType="end"/>
      </w:r>
      <w:bookmarkEnd w:id="9"/>
    </w:p>
    <w:p w14:paraId="608D0F28">
      <w:pPr>
        <w:pStyle w:val="193"/>
        <w:framePr w:wrap="around" w:x="1381" w:y="13336"/>
      </w:pPr>
      <w:r>
        <w:rPr>
          <w:rFonts w:ascii="黑体"/>
        </w:rPr>
        <w:fldChar w:fldCharType="begin">
          <w:ffData>
            <w:name w:val="PLSH_DATE_Y"/>
            <w:enabled/>
            <w:calcOnExit w:val="0"/>
            <w:textInput>
              <w:default w:val="XXXX"/>
              <w:maxLength w:val="4"/>
            </w:textInput>
          </w:ffData>
        </w:fldChar>
      </w:r>
      <w:bookmarkStart w:id="10"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0"/>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1"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1"/>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2"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2"/>
      <w:r>
        <w:rPr>
          <w:rFonts w:hint="eastAsia"/>
        </w:rPr>
        <w:t>发布</w:t>
      </w:r>
    </w:p>
    <w:p w14:paraId="1E8B6479">
      <w:pPr>
        <w:pStyle w:val="194"/>
        <w:framePr w:wrap="around" w:x="7171" w:y="13336"/>
      </w:pPr>
      <w:r>
        <w:rPr>
          <w:rFonts w:ascii="黑体"/>
        </w:rPr>
        <w:fldChar w:fldCharType="begin">
          <w:ffData>
            <w:name w:val="CROT_DATE_Y"/>
            <w:enabled/>
            <w:calcOnExit w:val="0"/>
            <w:textInput>
              <w:default w:val="XXXX"/>
              <w:maxLength w:val="4"/>
            </w:textInput>
          </w:ffData>
        </w:fldChar>
      </w:r>
      <w:bookmarkStart w:id="13"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3"/>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4"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4"/>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5"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rPr>
          <w:rFonts w:hint="eastAsia"/>
        </w:rPr>
        <w:t>实施</w:t>
      </w:r>
    </w:p>
    <w:p w14:paraId="649A41DC">
      <w:pPr>
        <w:pStyle w:val="151"/>
        <w:framePr w:h="1606" w:hRule="exact" w:hSpace="181" w:vSpace="181" w:wrap="around" w:vAnchor="page" w:y="14026"/>
        <w:rPr>
          <w:rFonts w:hint="eastAsia" w:hAnsi="黑体"/>
          <w:spacing w:val="60"/>
          <w:w w:val="100"/>
          <w:sz w:val="28"/>
          <w:szCs w:val="28"/>
        </w:rPr>
      </w:pPr>
      <w:r>
        <w:rPr>
          <w:rFonts w:hint="eastAsia" w:hAnsi="黑体"/>
          <w:spacing w:val="60"/>
          <w:w w:val="100"/>
          <w:sz w:val="28"/>
          <w:szCs w:val="28"/>
        </w:rPr>
        <w:t>上海市市场监督管理局</w:t>
      </w:r>
    </w:p>
    <w:p w14:paraId="0CDD6ED7">
      <w:pPr>
        <w:pStyle w:val="151"/>
        <w:framePr w:h="1606" w:hRule="exact" w:hSpace="181" w:vSpace="181" w:wrap="around" w:vAnchor="page" w:y="14026"/>
        <w:rPr>
          <w:rFonts w:hint="eastAsia" w:hAnsi="黑体"/>
          <w:spacing w:val="60"/>
          <w:w w:val="100"/>
          <w:sz w:val="28"/>
          <w:szCs w:val="28"/>
        </w:rPr>
      </w:pPr>
      <w:r>
        <w:rPr>
          <w:rFonts w:hint="eastAsia" w:hAnsi="黑体"/>
          <w:spacing w:val="60"/>
          <w:w w:val="100"/>
          <w:sz w:val="28"/>
          <w:szCs w:val="28"/>
        </w:rPr>
        <w:t>江苏省市场监督管理局</w:t>
      </w:r>
    </w:p>
    <w:p w14:paraId="25F1E062">
      <w:pPr>
        <w:pStyle w:val="151"/>
        <w:framePr w:h="1606" w:hRule="exact" w:hSpace="181" w:vSpace="181" w:wrap="around" w:vAnchor="page" w:y="14026"/>
        <w:rPr>
          <w:rFonts w:hint="eastAsia" w:hAnsi="黑体"/>
          <w:spacing w:val="60"/>
          <w:w w:val="100"/>
          <w:sz w:val="28"/>
          <w:szCs w:val="28"/>
        </w:rPr>
      </w:pPr>
      <w:r>
        <w:rPr>
          <w:rFonts w:hint="eastAsia" w:hAnsi="黑体"/>
          <w:spacing w:val="60"/>
          <w:w w:val="100"/>
          <w:sz w:val="28"/>
          <w:szCs w:val="28"/>
        </w:rPr>
        <w:t>浙江省市场监督管理局</w:t>
      </w:r>
    </w:p>
    <w:p w14:paraId="4B39E4DF">
      <w:pPr>
        <w:pStyle w:val="151"/>
        <w:framePr w:h="1606" w:hRule="exact" w:hSpace="181" w:vSpace="181" w:wrap="around" w:vAnchor="page" w:y="14026"/>
        <w:rPr>
          <w:rFonts w:hint="eastAsia" w:hAnsi="黑体"/>
          <w:spacing w:val="60"/>
          <w:w w:val="100"/>
          <w:sz w:val="28"/>
          <w:szCs w:val="28"/>
        </w:rPr>
      </w:pPr>
      <w:r>
        <w:rPr>
          <w:rFonts w:hint="eastAsia" w:hAnsi="黑体"/>
          <w:spacing w:val="60"/>
          <w:w w:val="100"/>
          <w:sz w:val="28"/>
          <w:szCs w:val="28"/>
        </w:rPr>
        <w:t>安徽省市场监督管理局</w:t>
      </w:r>
    </w:p>
    <w:p w14:paraId="070E0D9E">
      <w:pPr>
        <w:rPr>
          <w:rFonts w:hint="eastAsia"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338" w:right="1134" w:bottom="1021" w:left="1134" w:header="0" w:footer="0" w:gutter="284"/>
          <w:cols w:space="425" w:num="1"/>
          <w:titlePg/>
          <w:docGrid w:linePitch="312" w:charSpace="0"/>
        </w:sect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824230</wp:posOffset>
                </wp:positionH>
                <wp:positionV relativeFrom="page">
                  <wp:posOffset>3167380</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64.9pt;margin-top:249.4pt;height:0pt;width:481.9pt;mso-position-horizontal-relative:page;mso-position-vertical-relative:page;z-index:251659264;mso-width-relative:page;mso-height-relative:page;" filled="f" stroked="t" coordsize="21600,21600" o:allowoverlap="f" o:gfxdata="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6YR7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8776970</wp:posOffset>
                </wp:positionV>
                <wp:extent cx="6119495"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19495"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691.1pt;height:0pt;width:481.85pt;mso-position-horizontal-relative:page;mso-position-vertical-relative:page;z-index:251660288;mso-width-relative:page;mso-height-relative:page;" filled="f" stroked="t" coordsize="21600,21600" o:gfxdata="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LiLwQPYAAAA&#10;DgEAAA8AAAAAAAAAAQAgAAAAIgAAAGRycy9kb3ducmV2LnhtbFBLAQIUABQAAAAIAIdO4kDMG+ks&#10;5AEAAKoDAAAOAAAAAAAAAAEAIAAAACcBAABkcnMvZTJvRG9jLnhtbFBLBQYAAAAABgAGAFkBAAB9&#10;BQAAAAA=&#10;">
                <v:fill on="f" focussize="0,0"/>
                <v:stroke color="#000000" joinstyle="round"/>
                <v:imagedata o:title=""/>
                <o:lock v:ext="edit" aspectratio="f"/>
                <w10:anchorlock/>
              </v:line>
            </w:pict>
          </mc:Fallback>
        </mc:AlternateContent>
      </w:r>
    </w:p>
    <w:p w14:paraId="6310B093">
      <w:pPr>
        <w:pStyle w:val="91"/>
        <w:spacing w:after="468"/>
      </w:pPr>
      <w:bookmarkStart w:id="16" w:name="BookMark1"/>
      <w:bookmarkStart w:id="17" w:name="_Toc27891"/>
      <w:r>
        <w:rPr>
          <w:rFonts w:hint="eastAsia"/>
          <w:spacing w:val="320"/>
        </w:rPr>
        <w:t>d目</w:t>
      </w:r>
      <w:r>
        <w:rPr>
          <w:rFonts w:hint="eastAsia"/>
        </w:rPr>
        <w:t>次</w:t>
      </w:r>
    </w:p>
    <w:p w14:paraId="6B69B00D">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TOC \o "1-1" \h </w:instrText>
      </w:r>
      <w:r>
        <w:fldChar w:fldCharType="separate"/>
      </w:r>
      <w:r>
        <w:fldChar w:fldCharType="begin"/>
      </w:r>
      <w:r>
        <w:instrText xml:space="preserve"> HYPERLINK \l "_Toc234580197" </w:instrText>
      </w:r>
      <w:r>
        <w:fldChar w:fldCharType="separate"/>
      </w:r>
      <w:r>
        <w:rPr>
          <w:rStyle w:val="32"/>
          <w:rFonts w:hint="eastAsia"/>
        </w:rPr>
        <w:t>前言</w:t>
      </w:r>
      <w:r>
        <w:rPr>
          <w:rFonts w:hint="eastAsia"/>
        </w:rPr>
        <w:tab/>
      </w:r>
      <w:r>
        <w:rPr>
          <w:rFonts w:hint="eastAsia"/>
        </w:rPr>
        <w:fldChar w:fldCharType="begin"/>
      </w:r>
      <w:r>
        <w:rPr>
          <w:rFonts w:hint="eastAsia"/>
        </w:rPr>
        <w:instrText xml:space="preserve"> </w:instrText>
      </w:r>
      <w:r>
        <w:instrText xml:space="preserve">PAGEREF _Toc234580197 \h</w:instrText>
      </w:r>
      <w:r>
        <w:rPr>
          <w:rFonts w:hint="eastAsia"/>
        </w:rPr>
        <w:instrText xml:space="preserve"> </w:instrText>
      </w:r>
      <w:r>
        <w:rPr>
          <w:rFonts w:hint="eastAsia"/>
        </w:rPr>
        <w:fldChar w:fldCharType="separate"/>
      </w:r>
      <w:r>
        <w:t>II</w:t>
      </w:r>
      <w:r>
        <w:rPr>
          <w:rFonts w:hint="eastAsia"/>
        </w:rPr>
        <w:fldChar w:fldCharType="end"/>
      </w:r>
      <w:r>
        <w:rPr>
          <w:rFonts w:hint="eastAsia"/>
        </w:rPr>
        <w:fldChar w:fldCharType="end"/>
      </w:r>
    </w:p>
    <w:p w14:paraId="5093E27A">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"_Toc234580198" </w:instrText>
      </w:r>
      <w:r>
        <w:fldChar w:fldCharType="separate"/>
      </w:r>
      <w:r>
        <w:rPr>
          <w:rStyle w:val="32"/>
          <w:rFonts w:hint="eastAsia"/>
        </w:rPr>
        <w:t>1</w:t>
      </w:r>
      <w:r>
        <w:rPr>
          <w:rStyle w:val="32"/>
        </w:rPr>
        <w:t xml:space="preserve"> </w:t>
      </w:r>
      <w:r>
        <w:rPr>
          <w:rStyle w:val="32"/>
          <w:rFonts w:hint="eastAsia"/>
        </w:rPr>
        <w:t xml:space="preserve"> 范围</w:t>
      </w:r>
      <w:r>
        <w:rPr>
          <w:rFonts w:hint="eastAsia"/>
        </w:rPr>
        <w:tab/>
      </w:r>
      <w:r>
        <w:rPr>
          <w:rFonts w:hint="eastAsia"/>
        </w:rPr>
        <w:fldChar w:fldCharType="begin"/>
      </w:r>
      <w:r>
        <w:rPr>
          <w:rFonts w:hint="eastAsia"/>
        </w:rPr>
        <w:instrText xml:space="preserve"> </w:instrText>
      </w:r>
      <w:r>
        <w:instrText xml:space="preserve">PAGEREF _Toc234580198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5464309F">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"_Toc234580199" </w:instrText>
      </w:r>
      <w:r>
        <w:fldChar w:fldCharType="separate"/>
      </w:r>
      <w:r>
        <w:rPr>
          <w:rStyle w:val="32"/>
          <w:rFonts w:hint="eastAsia"/>
        </w:rPr>
        <w:t>2</w:t>
      </w:r>
      <w:r>
        <w:rPr>
          <w:rStyle w:val="32"/>
        </w:rPr>
        <w:t xml:space="preserve"> </w:t>
      </w:r>
      <w:r>
        <w:rPr>
          <w:rStyle w:val="32"/>
          <w:rFonts w:hint="eastAsia"/>
        </w:rPr>
        <w:t xml:space="preserve"> 规范性引用文件</w:t>
      </w:r>
      <w:r>
        <w:rPr>
          <w:rFonts w:hint="eastAsia"/>
        </w:rPr>
        <w:tab/>
      </w:r>
      <w:r>
        <w:rPr>
          <w:rFonts w:hint="eastAsia"/>
        </w:rPr>
        <w:fldChar w:fldCharType="begin"/>
      </w:r>
      <w:r>
        <w:rPr>
          <w:rFonts w:hint="eastAsia"/>
        </w:rPr>
        <w:instrText xml:space="preserve"> </w:instrText>
      </w:r>
      <w:r>
        <w:instrText xml:space="preserve">PAGEREF _Toc234580199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22AA167C">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"_Toc234580200" </w:instrText>
      </w:r>
      <w:r>
        <w:fldChar w:fldCharType="separate"/>
      </w:r>
      <w:r>
        <w:rPr>
          <w:rStyle w:val="32"/>
          <w:rFonts w:hint="eastAsia"/>
        </w:rPr>
        <w:t>3</w:t>
      </w:r>
      <w:r>
        <w:rPr>
          <w:rStyle w:val="32"/>
        </w:rPr>
        <w:t xml:space="preserve"> </w:t>
      </w:r>
      <w:r>
        <w:rPr>
          <w:rStyle w:val="32"/>
          <w:rFonts w:hint="eastAsia"/>
        </w:rPr>
        <w:t xml:space="preserve"> 术语和定义</w:t>
      </w:r>
      <w:r>
        <w:rPr>
          <w:rFonts w:hint="eastAsia"/>
        </w:rPr>
        <w:tab/>
      </w:r>
      <w:r>
        <w:rPr>
          <w:rFonts w:hint="eastAsia"/>
        </w:rPr>
        <w:fldChar w:fldCharType="begin"/>
      </w:r>
      <w:r>
        <w:rPr>
          <w:rFonts w:hint="eastAsia"/>
        </w:rPr>
        <w:instrText xml:space="preserve"> </w:instrText>
      </w:r>
      <w:r>
        <w:instrText xml:space="preserve">PAGEREF _Toc234580200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722D5AE6">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"_Toc234580201" </w:instrText>
      </w:r>
      <w:r>
        <w:fldChar w:fldCharType="separate"/>
      </w:r>
      <w:r>
        <w:rPr>
          <w:rStyle w:val="32"/>
          <w:rFonts w:hint="eastAsia"/>
        </w:rPr>
        <w:t>4</w:t>
      </w:r>
      <w:r>
        <w:rPr>
          <w:rStyle w:val="32"/>
        </w:rPr>
        <w:t xml:space="preserve"> </w:t>
      </w:r>
      <w:r>
        <w:rPr>
          <w:rStyle w:val="32"/>
          <w:rFonts w:hint="eastAsia"/>
        </w:rPr>
        <w:t xml:space="preserve"> 评估原则与工程流程</w:t>
      </w:r>
      <w:r>
        <w:rPr>
          <w:rFonts w:hint="eastAsia"/>
        </w:rPr>
        <w:tab/>
      </w:r>
      <w:r>
        <w:rPr>
          <w:rFonts w:hint="eastAsia"/>
        </w:rPr>
        <w:fldChar w:fldCharType="begin"/>
      </w:r>
      <w:r>
        <w:rPr>
          <w:rFonts w:hint="eastAsia"/>
        </w:rPr>
        <w:instrText xml:space="preserve"> </w:instrText>
      </w:r>
      <w:r>
        <w:instrText xml:space="preserve">PAGEREF _Toc234580201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5105312D">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"_Toc234580202" </w:instrText>
      </w:r>
      <w:r>
        <w:fldChar w:fldCharType="separate"/>
      </w:r>
      <w:r>
        <w:rPr>
          <w:rStyle w:val="32"/>
          <w:rFonts w:hint="eastAsia"/>
        </w:rPr>
        <w:t>5</w:t>
      </w:r>
      <w:r>
        <w:rPr>
          <w:rStyle w:val="32"/>
        </w:rPr>
        <w:t xml:space="preserve"> </w:t>
      </w:r>
      <w:r>
        <w:rPr>
          <w:rStyle w:val="32"/>
          <w:rFonts w:hint="eastAsia"/>
        </w:rPr>
        <w:t xml:space="preserve"> 废水作为碳源可行性评估</w:t>
      </w:r>
      <w:r>
        <w:rPr>
          <w:rFonts w:hint="eastAsia"/>
        </w:rPr>
        <w:tab/>
      </w:r>
      <w:r>
        <w:rPr>
          <w:rFonts w:hint="eastAsia"/>
        </w:rPr>
        <w:fldChar w:fldCharType="begin"/>
      </w:r>
      <w:r>
        <w:rPr>
          <w:rFonts w:hint="eastAsia"/>
        </w:rPr>
        <w:instrText xml:space="preserve"> </w:instrText>
      </w:r>
      <w:r>
        <w:instrText xml:space="preserve">PAGEREF _Toc234580202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4F3C5C7F">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"_Toc234580203" </w:instrText>
      </w:r>
      <w:r>
        <w:fldChar w:fldCharType="separate"/>
      </w:r>
      <w:r>
        <w:rPr>
          <w:rStyle w:val="32"/>
          <w:rFonts w:hint="eastAsia"/>
        </w:rPr>
        <w:t>6</w:t>
      </w:r>
      <w:r>
        <w:rPr>
          <w:rStyle w:val="32"/>
        </w:rPr>
        <w:t xml:space="preserve"> </w:t>
      </w:r>
      <w:r>
        <w:rPr>
          <w:rStyle w:val="32"/>
          <w:rFonts w:hint="eastAsia" w:ascii="Times New Roman"/>
        </w:rPr>
        <w:t xml:space="preserve"> 污水集中处理设施处理能力及碳源需求评估</w:t>
      </w:r>
      <w:r>
        <w:rPr>
          <w:rFonts w:hint="eastAsia"/>
        </w:rPr>
        <w:tab/>
      </w:r>
      <w:r>
        <w:rPr>
          <w:rFonts w:hint="eastAsia"/>
        </w:rPr>
        <w:fldChar w:fldCharType="begin"/>
      </w:r>
      <w:r>
        <w:rPr>
          <w:rFonts w:hint="eastAsia"/>
        </w:rPr>
        <w:instrText xml:space="preserve"> </w:instrText>
      </w:r>
      <w:r>
        <w:instrText xml:space="preserve">PAGEREF _Toc234580203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59B5431C">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"_Toc234580204" </w:instrText>
      </w:r>
      <w:r>
        <w:fldChar w:fldCharType="separate"/>
      </w:r>
      <w:r>
        <w:rPr>
          <w:rStyle w:val="32"/>
          <w:rFonts w:hint="eastAsia"/>
        </w:rPr>
        <w:t>7</w:t>
      </w:r>
      <w:r>
        <w:rPr>
          <w:rStyle w:val="32"/>
        </w:rPr>
        <w:t xml:space="preserve"> </w:t>
      </w:r>
      <w:r>
        <w:rPr>
          <w:rStyle w:val="32"/>
          <w:rFonts w:hint="eastAsia" w:ascii="Times New Roman"/>
        </w:rPr>
        <w:t xml:space="preserve"> 风险管控与评估</w:t>
      </w:r>
      <w:r>
        <w:rPr>
          <w:rFonts w:hint="eastAsia"/>
        </w:rPr>
        <w:tab/>
      </w:r>
      <w:r>
        <w:rPr>
          <w:rFonts w:hint="eastAsia"/>
        </w:rPr>
        <w:fldChar w:fldCharType="begin"/>
      </w:r>
      <w:r>
        <w:rPr>
          <w:rFonts w:hint="eastAsia"/>
        </w:rPr>
        <w:instrText xml:space="preserve"> </w:instrText>
      </w:r>
      <w:r>
        <w:instrText xml:space="preserve">PAGEREF _Toc234580204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14:paraId="19DC743F">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"_Toc234580205" </w:instrText>
      </w:r>
      <w:r>
        <w:fldChar w:fldCharType="separate"/>
      </w:r>
      <w:r>
        <w:rPr>
          <w:rStyle w:val="32"/>
          <w:rFonts w:hint="eastAsia"/>
        </w:rPr>
        <w:t>8</w:t>
      </w:r>
      <w:r>
        <w:rPr>
          <w:rStyle w:val="32"/>
        </w:rPr>
        <w:t xml:space="preserve"> </w:t>
      </w:r>
      <w:r>
        <w:rPr>
          <w:rStyle w:val="32"/>
          <w:rFonts w:hint="eastAsia"/>
        </w:rPr>
        <w:t xml:space="preserve"> 废水碳源综合利用相关限值的确定</w:t>
      </w:r>
      <w:r>
        <w:rPr>
          <w:rFonts w:hint="eastAsia"/>
        </w:rPr>
        <w:tab/>
      </w:r>
      <w:r>
        <w:rPr>
          <w:rFonts w:hint="eastAsia"/>
        </w:rPr>
        <w:fldChar w:fldCharType="begin"/>
      </w:r>
      <w:r>
        <w:rPr>
          <w:rFonts w:hint="eastAsia"/>
        </w:rPr>
        <w:instrText xml:space="preserve"> </w:instrText>
      </w:r>
      <w:r>
        <w:instrText xml:space="preserve">PAGEREF _Toc234580205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14:paraId="6A1EFB98">
      <w:pPr>
        <w:pStyle w:val="91"/>
        <w:spacing w:after="468"/>
        <w:sectPr>
          <w:headerReference r:id="rId11" w:type="default"/>
          <w:footerReference r:id="rId13" w:type="default"/>
          <w:headerReference r:id="rId12" w:type="even"/>
          <w:pgSz w:w="11906" w:h="16838"/>
          <w:pgMar w:top="1928" w:right="1134" w:bottom="1134" w:left="1134" w:header="1418" w:footer="1134" w:gutter="284"/>
          <w:pgNumType w:fmt="upperRoman" w:start="1"/>
          <w:cols w:space="425" w:num="1"/>
          <w:formProt w:val="0"/>
          <w:docGrid w:type="lines" w:linePitch="312" w:charSpace="0"/>
        </w:sectPr>
      </w:pPr>
      <w:r>
        <w:fldChar w:fldCharType="end"/>
      </w:r>
    </w:p>
    <w:bookmarkEnd w:id="16"/>
    <w:p w14:paraId="216296C4">
      <w:pPr>
        <w:pStyle w:val="89"/>
        <w:spacing w:after="468"/>
      </w:pPr>
      <w:bookmarkStart w:id="18" w:name="_Toc234580197"/>
      <w:bookmarkStart w:id="19" w:name="BookMark2"/>
      <w:r>
        <w:rPr>
          <w:spacing w:val="320"/>
        </w:rPr>
        <w:t>前</w:t>
      </w:r>
      <w:r>
        <w:t>言</w:t>
      </w:r>
      <w:bookmarkEnd w:id="17"/>
      <w:bookmarkEnd w:id="18"/>
    </w:p>
    <w:p w14:paraId="5E3E9FF6">
      <w:pPr>
        <w:pStyle w:val="56"/>
        <w:ind w:firstLine="420"/>
      </w:pPr>
      <w:r>
        <w:rPr>
          <w:rFonts w:hint="eastAsia"/>
        </w:rPr>
        <w:t>本文件按照GB/T 1.1—2020《标准化工作导则  第1部分：标准化文件的结构和起草规则》的规定起草。</w:t>
      </w:r>
    </w:p>
    <w:p w14:paraId="238B9A81">
      <w:pPr>
        <w:pStyle w:val="56"/>
        <w:ind w:firstLine="420"/>
      </w:pPr>
      <w:r>
        <w:rPr>
          <w:rFonts w:hint="eastAsia"/>
        </w:rPr>
        <w:t>本文件是《</w:t>
      </w:r>
      <w:r>
        <w:t>废水碳源综合利用管理与技术指南</w:t>
      </w:r>
      <w:r>
        <w:rPr>
          <w:rFonts w:hint="eastAsia"/>
        </w:rPr>
        <w:t>》的第</w:t>
      </w:r>
      <w:r>
        <w:t>2</w:t>
      </w:r>
      <w:r>
        <w:rPr>
          <w:rFonts w:hint="eastAsia"/>
        </w:rPr>
        <w:t>部分。本文件包括以下部分：</w:t>
      </w:r>
    </w:p>
    <w:p w14:paraId="3DB2FD30">
      <w:pPr>
        <w:pStyle w:val="56"/>
        <w:ind w:firstLine="420"/>
      </w:pPr>
      <w:r>
        <w:rPr>
          <w:rFonts w:hint="eastAsia"/>
        </w:rPr>
        <w:t>——第1部分：管理要求；</w:t>
      </w:r>
    </w:p>
    <w:p w14:paraId="16A7E85E">
      <w:pPr>
        <w:pStyle w:val="56"/>
        <w:ind w:firstLine="420"/>
      </w:pPr>
      <w:r>
        <w:rPr>
          <w:rFonts w:hint="eastAsia"/>
        </w:rPr>
        <w:t>——第2部分：评估技术导则；</w:t>
      </w:r>
    </w:p>
    <w:p w14:paraId="428A0E07">
      <w:pPr>
        <w:pStyle w:val="56"/>
        <w:ind w:firstLine="420"/>
      </w:pPr>
      <w:r>
        <w:rPr>
          <w:rFonts w:hint="eastAsia"/>
        </w:rPr>
        <w:t>——第3部分：</w:t>
      </w:r>
      <w:bookmarkStart w:id="20" w:name="_Hlk233467975"/>
      <w:r>
        <w:rPr>
          <w:rFonts w:hint="eastAsia"/>
        </w:rPr>
        <w:t>碳减排和经济效益核算方法</w:t>
      </w:r>
      <w:bookmarkEnd w:id="20"/>
      <w:r>
        <w:rPr>
          <w:rFonts w:hint="eastAsia"/>
        </w:rPr>
        <w:t>。</w:t>
      </w:r>
    </w:p>
    <w:p w14:paraId="4600A604">
      <w:pPr>
        <w:pStyle w:val="56"/>
        <w:ind w:firstLine="420"/>
        <w:rPr>
          <w:rFonts w:hint="eastAsia"/>
        </w:rPr>
      </w:pPr>
      <w:r>
        <w:rPr>
          <w:rFonts w:hint="eastAsia"/>
        </w:rPr>
        <w:t>请注意本标准的某些内容可能涉及专利。本标准的发布机构不承担识别专利的责任。</w:t>
      </w:r>
      <w:bookmarkStart w:id="83" w:name="_GoBack"/>
      <w:bookmarkEnd w:id="83"/>
    </w:p>
    <w:p w14:paraId="4548FF01">
      <w:pPr>
        <w:pStyle w:val="56"/>
        <w:ind w:firstLine="420"/>
      </w:pPr>
      <w:r>
        <w:rPr>
          <w:rFonts w:hint="eastAsia"/>
        </w:rPr>
        <w:t>本文件由浙江省生态环境厅、上海市生态环境局、江苏省生态环境厅、安徽省生态环境厅联合提出并组织实施。</w:t>
      </w:r>
    </w:p>
    <w:p w14:paraId="1C6BA8C0">
      <w:pPr>
        <w:pStyle w:val="56"/>
        <w:ind w:firstLine="420"/>
      </w:pPr>
      <w:r>
        <w:rPr>
          <w:rFonts w:hint="eastAsia"/>
        </w:rPr>
        <w:t>本文件由浙江省生态环境保护标准化技术委员会、上海市生态环境保护标准化技术委员、江苏省环境管理标准化技术委员会、安徽省生态环境保护标准化技术委员会归口。</w:t>
      </w:r>
    </w:p>
    <w:p w14:paraId="693589FD">
      <w:pPr>
        <w:pStyle w:val="56"/>
        <w:ind w:firstLine="420"/>
      </w:pPr>
      <w:r>
        <w:rPr>
          <w:rFonts w:hint="eastAsia"/>
        </w:rPr>
        <w:t>本文件起草单位：浙江省生态环境科学设计研究院、上海市环境科学研究院、江苏省环境科学研究院、安徽省生态环境科学研究院、中国环境科学研究院、安徽农业大学、嘉兴市生态环境局嘉善分局、浙江大学。</w:t>
      </w:r>
    </w:p>
    <w:p w14:paraId="45FBB09C">
      <w:pPr>
        <w:pStyle w:val="56"/>
        <w:ind w:firstLine="420"/>
      </w:pPr>
      <w:r>
        <w:rPr>
          <w:rFonts w:hint="eastAsia"/>
        </w:rPr>
        <w:t>本文件主要起草人：</w:t>
      </w:r>
    </w:p>
    <w:p w14:paraId="63B33A9E">
      <w:pPr>
        <w:pStyle w:val="56"/>
        <w:ind w:firstLine="420"/>
      </w:pPr>
    </w:p>
    <w:p w14:paraId="6DDCB974">
      <w:pPr>
        <w:pStyle w:val="56"/>
        <w:ind w:firstLine="420"/>
        <w:sectPr>
          <w:pgSz w:w="11906" w:h="16838"/>
          <w:pgMar w:top="1928" w:right="1134" w:bottom="1134" w:left="1134" w:header="1418" w:footer="1134" w:gutter="284"/>
          <w:pgNumType w:fmt="upperRoman"/>
          <w:cols w:space="425" w:num="1"/>
          <w:formProt w:val="0"/>
          <w:docGrid w:type="lines" w:linePitch="312" w:charSpace="0"/>
        </w:sectPr>
      </w:pPr>
    </w:p>
    <w:bookmarkEnd w:id="19"/>
    <w:p w14:paraId="47C39339">
      <w:pPr>
        <w:spacing w:line="20" w:lineRule="exact"/>
        <w:jc w:val="center"/>
        <w:rPr>
          <w:rFonts w:hint="eastAsia" w:ascii="黑体" w:hAnsi="黑体" w:eastAsia="黑体"/>
          <w:sz w:val="32"/>
          <w:szCs w:val="32"/>
        </w:rPr>
      </w:pPr>
      <w:bookmarkStart w:id="21" w:name="BookMark4"/>
    </w:p>
    <w:p w14:paraId="34F3C3C1">
      <w:pPr>
        <w:spacing w:line="20" w:lineRule="exact"/>
        <w:jc w:val="center"/>
        <w:rPr>
          <w:rFonts w:hint="eastAsia" w:ascii="黑体" w:hAnsi="黑体" w:eastAsia="黑体"/>
          <w:sz w:val="32"/>
          <w:szCs w:val="32"/>
        </w:rPr>
      </w:pPr>
    </w:p>
    <w:sdt>
      <w:sdtPr>
        <w:tag w:val="NEW_STAND_NAME"/>
        <w:id w:val="595910757"/>
        <w:lock w:val="sdtLocked"/>
        <w:placeholder>
          <w:docPart w:val="75C5679BC6BF451393A5635E09692BF8"/>
        </w:placeholder>
      </w:sdtPr>
      <w:sdtContent>
        <w:p w14:paraId="06A998FC">
          <w:pPr>
            <w:pStyle w:val="177"/>
            <w:spacing w:before="312" w:beforeLines="100" w:after="3" w:afterLines="1"/>
            <w:rPr>
              <w:rFonts w:hint="eastAsia"/>
            </w:rPr>
          </w:pPr>
          <w:bookmarkStart w:id="22" w:name="NEW_STAND_NAME"/>
          <w:r>
            <w:rPr>
              <w:rFonts w:hint="eastAsia"/>
            </w:rPr>
            <w:t>废水碳源综合利用管理与技术指南</w:t>
          </w:r>
        </w:p>
        <w:p w14:paraId="335EB52B">
          <w:pPr>
            <w:pStyle w:val="177"/>
            <w:spacing w:before="3" w:beforeLines="1" w:after="680"/>
            <w:rPr>
              <w:rFonts w:hint="eastAsia"/>
            </w:rPr>
          </w:pPr>
          <w:r>
            <w:rPr>
              <w:rFonts w:hint="eastAsia"/>
            </w:rPr>
            <w:t>第</w:t>
          </w:r>
          <w:r>
            <w:t>2部分：评估技术导则</w:t>
          </w:r>
        </w:p>
      </w:sdtContent>
    </w:sdt>
    <w:bookmarkEnd w:id="22"/>
    <w:p w14:paraId="5359003F">
      <w:pPr>
        <w:pStyle w:val="104"/>
        <w:spacing w:before="312" w:after="312"/>
      </w:pPr>
      <w:bookmarkStart w:id="23" w:name="_Toc26986530"/>
      <w:bookmarkStart w:id="24" w:name="_Toc26718930"/>
      <w:bookmarkStart w:id="25" w:name="_Toc28497"/>
      <w:bookmarkStart w:id="26" w:name="_Toc234580198"/>
      <w:bookmarkStart w:id="27" w:name="_Toc97191423"/>
      <w:bookmarkStart w:id="28" w:name="_Toc24884218"/>
      <w:bookmarkStart w:id="29" w:name="_Toc26986771"/>
      <w:bookmarkStart w:id="30" w:name="_Toc26648465"/>
      <w:bookmarkStart w:id="31" w:name="_Toc17233325"/>
      <w:bookmarkStart w:id="32" w:name="_Toc17233333"/>
      <w:bookmarkStart w:id="33" w:name="_Toc24884211"/>
      <w:r>
        <w:rPr>
          <w:rFonts w:hint="eastAsia"/>
        </w:rPr>
        <w:t>范围</w:t>
      </w:r>
      <w:bookmarkEnd w:id="23"/>
      <w:bookmarkEnd w:id="24"/>
      <w:bookmarkEnd w:id="25"/>
      <w:bookmarkEnd w:id="26"/>
      <w:bookmarkEnd w:id="27"/>
      <w:bookmarkEnd w:id="28"/>
      <w:bookmarkEnd w:id="29"/>
      <w:bookmarkEnd w:id="30"/>
      <w:bookmarkEnd w:id="31"/>
      <w:bookmarkEnd w:id="32"/>
      <w:bookmarkEnd w:id="33"/>
    </w:p>
    <w:p w14:paraId="186B519F">
      <w:pPr>
        <w:pStyle w:val="56"/>
        <w:ind w:firstLine="420"/>
      </w:pPr>
      <w:bookmarkStart w:id="34" w:name="_Toc17233334"/>
      <w:bookmarkStart w:id="35" w:name="_Toc24884212"/>
      <w:bookmarkStart w:id="36" w:name="_Toc17233326"/>
      <w:bookmarkStart w:id="37" w:name="_Toc24884219"/>
      <w:bookmarkStart w:id="38" w:name="_Toc26648466"/>
      <w:r>
        <w:rPr>
          <w:rFonts w:hint="eastAsia"/>
        </w:rPr>
        <w:t>本文件规定了</w:t>
      </w:r>
      <w:bookmarkStart w:id="39" w:name="_Hlk234913595"/>
      <w:r>
        <w:rPr>
          <w:rFonts w:hint="eastAsia"/>
        </w:rPr>
        <w:t>废水碳源综合利用管理指南的评估原则与工作流程、废水作为碳源的可行性评估要求、污水集中处理设施的处理能力及碳源需求评估、风险管控与评估和协商限值的确定。</w:t>
      </w:r>
      <w:bookmarkEnd w:id="39"/>
    </w:p>
    <w:p w14:paraId="68270758">
      <w:pPr>
        <w:pStyle w:val="56"/>
        <w:ind w:firstLine="420"/>
      </w:pPr>
      <w:r>
        <w:rPr>
          <w:rFonts w:hint="eastAsia"/>
        </w:rPr>
        <w:t>本文件适用于指导和规范废水作为碳源综合利用的评估。</w:t>
      </w:r>
    </w:p>
    <w:p w14:paraId="3C5198DB">
      <w:pPr>
        <w:pStyle w:val="56"/>
        <w:ind w:firstLine="420"/>
      </w:pPr>
      <w:r>
        <w:rPr>
          <w:rFonts w:hint="eastAsia"/>
        </w:rPr>
        <w:t>本文件不适用于含放射性物质的废水。</w:t>
      </w:r>
    </w:p>
    <w:p w14:paraId="2161D3E4">
      <w:pPr>
        <w:pStyle w:val="104"/>
        <w:spacing w:before="312" w:after="312"/>
      </w:pPr>
      <w:bookmarkStart w:id="40" w:name="_Toc97191424"/>
      <w:bookmarkStart w:id="41" w:name="_Toc26986772"/>
      <w:bookmarkStart w:id="42" w:name="_Toc234580199"/>
      <w:bookmarkStart w:id="43" w:name="_Toc26986531"/>
      <w:bookmarkStart w:id="44" w:name="_Toc10064"/>
      <w:bookmarkStart w:id="45" w:name="_Toc26718931"/>
      <w:r>
        <w:rPr>
          <w:rFonts w:hint="eastAsia"/>
        </w:rPr>
        <w:t>规范性引用文件</w:t>
      </w:r>
      <w:bookmarkEnd w:id="34"/>
      <w:bookmarkEnd w:id="35"/>
      <w:bookmarkEnd w:id="36"/>
      <w:bookmarkEnd w:id="37"/>
      <w:bookmarkEnd w:id="38"/>
      <w:bookmarkEnd w:id="40"/>
      <w:bookmarkEnd w:id="41"/>
      <w:bookmarkEnd w:id="42"/>
      <w:bookmarkEnd w:id="43"/>
      <w:bookmarkEnd w:id="44"/>
      <w:bookmarkEnd w:id="45"/>
    </w:p>
    <w:sdt>
      <w:sdtPr>
        <w:rPr>
          <w:rFonts w:hint="eastAsia"/>
        </w:rPr>
        <w:id w:val="715848253"/>
        <w:placeholder>
          <w:docPart w:val="B4169FE0D2654F23A43AED82098F7FB0"/>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14:paraId="410A8C7F">
          <w:pPr>
            <w:pStyle w:val="56"/>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11BF8BAA">
      <w:pPr>
        <w:pStyle w:val="56"/>
        <w:ind w:firstLine="420"/>
      </w:pPr>
      <w:r>
        <w:rPr>
          <w:rFonts w:hint="eastAsia"/>
        </w:rPr>
        <w:t>DB 31/ 310**.1  废水碳源综合利用管理与技术指南  第1部分：管理要求</w:t>
      </w:r>
    </w:p>
    <w:p w14:paraId="7C5DC5B5">
      <w:pPr>
        <w:pStyle w:val="56"/>
        <w:ind w:firstLine="420"/>
      </w:pPr>
      <w:r>
        <w:rPr>
          <w:rFonts w:hint="eastAsia"/>
        </w:rPr>
        <w:t>DB 32/ 310**.1  废水碳源综合利用管理与技术指南  第1部分：管理要求</w:t>
      </w:r>
    </w:p>
    <w:p w14:paraId="34769F80">
      <w:pPr>
        <w:pStyle w:val="56"/>
        <w:ind w:firstLine="420"/>
      </w:pPr>
      <w:r>
        <w:rPr>
          <w:rFonts w:hint="eastAsia"/>
        </w:rPr>
        <w:t>DB 33/ 310**.1  废水碳源综合利用管理与技术指南  第1部分：管理要求</w:t>
      </w:r>
    </w:p>
    <w:p w14:paraId="011B82A0">
      <w:pPr>
        <w:pStyle w:val="56"/>
        <w:ind w:firstLine="420"/>
      </w:pPr>
      <w:r>
        <w:rPr>
          <w:rFonts w:hint="eastAsia"/>
        </w:rPr>
        <w:t>DB 34/ 310**.1  废水碳源综合利用管理与技术指南  第1部分：管理要求</w:t>
      </w:r>
    </w:p>
    <w:p w14:paraId="176ED998">
      <w:pPr>
        <w:pStyle w:val="104"/>
        <w:spacing w:before="312" w:after="312"/>
      </w:pPr>
      <w:bookmarkStart w:id="46" w:name="_Toc234580200"/>
      <w:bookmarkStart w:id="47" w:name="_Toc18749"/>
      <w:bookmarkStart w:id="48" w:name="_Toc97191425"/>
      <w:r>
        <w:rPr>
          <w:rFonts w:hint="eastAsia"/>
          <w:szCs w:val="21"/>
        </w:rPr>
        <w:t>术语和定义</w:t>
      </w:r>
      <w:bookmarkEnd w:id="46"/>
      <w:bookmarkEnd w:id="47"/>
      <w:bookmarkEnd w:id="48"/>
    </w:p>
    <w:sdt>
      <w:sdtPr>
        <w:rPr>
          <w:rFonts w:hint="eastAsia"/>
        </w:rPr>
        <w:id w:val="-1909835108"/>
        <w:placeholder>
          <w:docPart w:val="8934CFFB69994FB380DD1A27D04433B6"/>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rPr>
          <w:rFonts w:hint="eastAsia"/>
        </w:rPr>
      </w:sdtEndPr>
      <w:sdtContent>
        <w:p w14:paraId="129E48CE">
          <w:pPr>
            <w:pStyle w:val="56"/>
            <w:ind w:firstLine="420"/>
          </w:pPr>
          <w:bookmarkStart w:id="49" w:name="_Toc26986532"/>
          <w:bookmarkEnd w:id="49"/>
          <w:r>
            <w:rPr>
              <w:rFonts w:hint="eastAsia"/>
            </w:rPr>
            <w:t>DB 31/310</w:t>
          </w:r>
          <w:r>
            <w:t>*</w:t>
          </w:r>
          <w:r>
            <w:rPr>
              <w:rFonts w:hint="eastAsia"/>
            </w:rPr>
            <w:t>**、DB32/310***、DB3</w:t>
          </w:r>
          <w:r>
            <w:t>3</w:t>
          </w:r>
          <w:r>
            <w:rPr>
              <w:rFonts w:hint="eastAsia"/>
            </w:rPr>
            <w:t>/310***、DB3</w:t>
          </w:r>
          <w:r>
            <w:t>4</w:t>
          </w:r>
          <w:r>
            <w:rPr>
              <w:rFonts w:hint="eastAsia"/>
            </w:rPr>
            <w:t>/310***界定的术语和定义适用于本文件。</w:t>
          </w:r>
        </w:p>
      </w:sdtContent>
    </w:sdt>
    <w:p w14:paraId="5D5BC8BC">
      <w:pPr>
        <w:pStyle w:val="104"/>
        <w:shd w:val="clear" w:color="000000" w:fill="auto"/>
        <w:spacing w:before="312" w:after="312"/>
      </w:pPr>
      <w:bookmarkStart w:id="50" w:name="_Toc12334"/>
      <w:bookmarkStart w:id="51" w:name="_Toc234580201"/>
      <w:r>
        <w:rPr>
          <w:rFonts w:hint="eastAsia"/>
        </w:rPr>
        <w:t>评估原则与</w:t>
      </w:r>
      <w:bookmarkEnd w:id="50"/>
      <w:r>
        <w:rPr>
          <w:rFonts w:hint="eastAsia"/>
        </w:rPr>
        <w:t>工程流程</w:t>
      </w:r>
      <w:bookmarkEnd w:id="51"/>
    </w:p>
    <w:p w14:paraId="2530B7D7">
      <w:pPr>
        <w:pStyle w:val="105"/>
        <w:spacing w:before="156" w:after="156"/>
      </w:pPr>
      <w:r>
        <w:rPr>
          <w:rFonts w:hint="eastAsia"/>
        </w:rPr>
        <w:t>评估原则</w:t>
      </w:r>
    </w:p>
    <w:p w14:paraId="590985AD">
      <w:pPr>
        <w:pStyle w:val="65"/>
        <w:spacing w:before="156" w:after="156"/>
      </w:pPr>
      <w:r>
        <w:rPr>
          <w:rFonts w:hint="eastAsia"/>
        </w:rPr>
        <w:t>合规性</w:t>
      </w:r>
    </w:p>
    <w:p w14:paraId="5D5A1E21">
      <w:pPr>
        <w:pStyle w:val="56"/>
        <w:shd w:val="clear" w:color="000000" w:fill="auto"/>
        <w:ind w:firstLine="420"/>
      </w:pPr>
      <w:r>
        <w:rPr>
          <w:rFonts w:hint="eastAsia"/>
          <w:color w:val="000000"/>
          <w:szCs w:val="21"/>
          <w:lang w:bidi="ar"/>
        </w:rPr>
        <w:t>在</w:t>
      </w:r>
      <w:r>
        <w:rPr>
          <w:rFonts w:ascii="Times New Roman"/>
          <w:szCs w:val="21"/>
        </w:rPr>
        <w:t>法律法规和</w:t>
      </w:r>
      <w:r>
        <w:rPr>
          <w:rFonts w:hint="eastAsia" w:ascii="Times New Roman"/>
          <w:szCs w:val="21"/>
        </w:rPr>
        <w:t>排放</w:t>
      </w:r>
      <w:r>
        <w:rPr>
          <w:rFonts w:ascii="Times New Roman"/>
          <w:szCs w:val="21"/>
        </w:rPr>
        <w:t>标准允许</w:t>
      </w:r>
      <w:r>
        <w:rPr>
          <w:rFonts w:hint="eastAsia"/>
          <w:szCs w:val="21"/>
        </w:rPr>
        <w:t>工业企业与污水集中处理设施协商间接排放的前提下，开展废水碳源综合利用可行性评估工作。</w:t>
      </w:r>
    </w:p>
    <w:p w14:paraId="6542C17C">
      <w:pPr>
        <w:pStyle w:val="65"/>
        <w:spacing w:before="156" w:after="156"/>
      </w:pPr>
      <w:bookmarkStart w:id="52" w:name="_Hlk140602915"/>
      <w:r>
        <w:rPr>
          <w:rFonts w:hint="eastAsia"/>
        </w:rPr>
        <w:t>完整性</w:t>
      </w:r>
    </w:p>
    <w:p w14:paraId="4D05A8A8">
      <w:pPr>
        <w:pStyle w:val="56"/>
        <w:shd w:val="clear" w:color="000000" w:fill="auto"/>
        <w:ind w:firstLine="420"/>
      </w:pPr>
      <w:r>
        <w:rPr>
          <w:rFonts w:hint="eastAsia"/>
          <w:color w:val="000000"/>
          <w:szCs w:val="21"/>
          <w:lang w:bidi="ar"/>
        </w:rPr>
        <w:t>废水碳源综合利用既要对工业企业废水是否可以作为碳源进行评估分析，也要对污水集中处理设施的处理能力、碳源需求等进行评估分析，以确定需求和必要。</w:t>
      </w:r>
    </w:p>
    <w:p w14:paraId="6D242379">
      <w:pPr>
        <w:pStyle w:val="65"/>
        <w:spacing w:before="156" w:after="156"/>
      </w:pPr>
      <w:r>
        <w:rPr>
          <w:rFonts w:hint="eastAsia"/>
        </w:rPr>
        <w:t>科学性</w:t>
      </w:r>
    </w:p>
    <w:bookmarkEnd w:id="52"/>
    <w:p w14:paraId="1E71CF1F">
      <w:pPr>
        <w:pStyle w:val="56"/>
        <w:shd w:val="clear" w:color="000000" w:fill="auto"/>
        <w:ind w:firstLine="420"/>
      </w:pPr>
      <w:r>
        <w:rPr>
          <w:rFonts w:hint="eastAsia"/>
        </w:rPr>
        <w:t>根据废水水质特点，通过测试分析、统计计算等手段，客观评估废水的作为碳源的可行性、污水集中处理设施的处理能力等，为废水作为碳源综合利用的可行性提供基础依据和支撑。</w:t>
      </w:r>
    </w:p>
    <w:p w14:paraId="0F239CF9">
      <w:pPr>
        <w:pStyle w:val="65"/>
        <w:spacing w:before="156" w:after="156"/>
      </w:pPr>
      <w:r>
        <w:rPr>
          <w:rFonts w:hint="eastAsia"/>
        </w:rPr>
        <w:t>防风险</w:t>
      </w:r>
    </w:p>
    <w:p w14:paraId="7D2DF01E">
      <w:pPr>
        <w:pStyle w:val="56"/>
        <w:shd w:val="clear" w:color="000000" w:fill="auto"/>
        <w:ind w:firstLine="420"/>
      </w:pPr>
      <w:bookmarkStart w:id="53" w:name="_Hlk234913855"/>
      <w:r>
        <w:rPr>
          <w:rFonts w:hint="eastAsia" w:ascii="Times New Roman"/>
          <w:szCs w:val="21"/>
        </w:rPr>
        <w:t>废水碳源综合利用中涉及排放</w:t>
      </w:r>
      <w:r>
        <w:rPr>
          <w:rFonts w:ascii="Times New Roman"/>
          <w:szCs w:val="21"/>
        </w:rPr>
        <w:t>标准</w:t>
      </w:r>
      <w:r>
        <w:rPr>
          <w:rFonts w:hint="eastAsia" w:ascii="Times New Roman"/>
          <w:szCs w:val="21"/>
        </w:rPr>
        <w:t>不允许间接排放协商的污染物，应开展预处理以及污水集中处理设施排放口的排放浓度限值测算，避免毒性强、环境危害大、具有持久性和易于生物富集的有毒有害水污染物被稀释排放</w:t>
      </w:r>
      <w:r>
        <w:rPr>
          <w:rFonts w:hint="eastAsia"/>
          <w:color w:val="000000"/>
          <w:szCs w:val="21"/>
          <w:lang w:bidi="ar"/>
        </w:rPr>
        <w:t>。</w:t>
      </w:r>
      <w:bookmarkEnd w:id="53"/>
    </w:p>
    <w:p w14:paraId="6661ACED">
      <w:pPr>
        <w:pStyle w:val="105"/>
        <w:spacing w:before="156" w:after="156"/>
      </w:pPr>
      <w:r>
        <w:rPr>
          <w:rFonts w:hint="eastAsia"/>
        </w:rPr>
        <w:t>工作流程</w:t>
      </w:r>
    </w:p>
    <w:p w14:paraId="4C33EE04">
      <w:pPr>
        <w:pStyle w:val="56"/>
        <w:ind w:firstLine="420"/>
      </w:pPr>
      <w:r>
        <w:rPr>
          <w:rFonts w:hint="eastAsia"/>
        </w:rPr>
        <w:t>评估工作流程见图1。</w:t>
      </w:r>
    </w:p>
    <w:p w14:paraId="7F3EFB32">
      <w:pPr>
        <w:pStyle w:val="56"/>
        <w:ind w:firstLine="0" w:firstLineChars="0"/>
        <w:jc w:val="center"/>
      </w:pPr>
      <w:bookmarkStart w:id="54" w:name="_Hlk234913887"/>
      <w:r>
        <w:rPr>
          <w:rFonts w:hint="eastAsia"/>
        </w:rPr>
        <w:object>
          <v:shape id="_x0000_i1025" o:spt="75" type="#_x0000_t75" style="height:171.15pt;width:467.3pt;" o:ole="t" filled="f" o:preferrelative="t" stroked="f" coordsize="21600,21600">
            <v:path/>
            <v:fill on="f" focussize="0,0"/>
            <v:stroke on="f" joinstyle="miter"/>
            <v:imagedata r:id="rId17" o:title=""/>
            <o:lock v:ext="edit" aspectratio="t"/>
            <w10:wrap type="none"/>
            <w10:anchorlock/>
          </v:shape>
          <o:OLEObject Type="Embed" ProgID="Visio.Drawing.15" ShapeID="_x0000_i1025" DrawAspect="Content" ObjectID="_1468075725" r:id="rId16">
            <o:LockedField>false</o:LockedField>
          </o:OLEObject>
        </w:object>
      </w:r>
      <w:bookmarkEnd w:id="54"/>
    </w:p>
    <w:p w14:paraId="2E37B503">
      <w:pPr>
        <w:pStyle w:val="114"/>
        <w:spacing w:before="156" w:after="156"/>
      </w:pPr>
      <w:r>
        <w:rPr>
          <w:rFonts w:hint="eastAsia"/>
        </w:rPr>
        <w:t>工业废水作为碳源综合利用的评估工作流程</w:t>
      </w:r>
    </w:p>
    <w:p w14:paraId="2A27F3B5">
      <w:pPr>
        <w:pStyle w:val="104"/>
        <w:spacing w:before="312" w:after="312"/>
      </w:pPr>
      <w:bookmarkStart w:id="55" w:name="_Toc234580202"/>
      <w:bookmarkStart w:id="56" w:name="_Toc21985"/>
      <w:r>
        <w:rPr>
          <w:rFonts w:hint="eastAsia"/>
        </w:rPr>
        <w:t>废水作为碳源的可行性评估</w:t>
      </w:r>
      <w:bookmarkEnd w:id="55"/>
      <w:bookmarkEnd w:id="56"/>
    </w:p>
    <w:p w14:paraId="59BD2265">
      <w:pPr>
        <w:pStyle w:val="105"/>
        <w:spacing w:before="156" w:after="156"/>
      </w:pPr>
      <w:r>
        <w:rPr>
          <w:rFonts w:hint="eastAsia"/>
        </w:rPr>
        <w:t>水质全分析</w:t>
      </w:r>
    </w:p>
    <w:p w14:paraId="47DD6D02">
      <w:pPr>
        <w:pStyle w:val="56"/>
        <w:ind w:firstLine="420"/>
      </w:pPr>
      <w:r>
        <w:rPr>
          <w:rFonts w:hint="eastAsia"/>
          <w:kern w:val="44"/>
          <w:szCs w:val="21"/>
        </w:rPr>
        <w:t>开展工业企业废水水质全分析测试，分析范围应包括行业相关标准规定的常规污染物、特征污染物，以及其他可能涉及的有毒有害物质、腐蚀性、病原微生物，分析各项污染物的浓度水平。</w:t>
      </w:r>
    </w:p>
    <w:p w14:paraId="14ABCA49">
      <w:pPr>
        <w:pStyle w:val="105"/>
        <w:spacing w:before="156" w:after="156"/>
      </w:pPr>
      <w:r>
        <w:rPr>
          <w:rFonts w:hint="eastAsia"/>
        </w:rPr>
        <w:t>生物处理可行性分析</w:t>
      </w:r>
    </w:p>
    <w:p w14:paraId="1D7BFCDB">
      <w:pPr>
        <w:pStyle w:val="56"/>
        <w:ind w:firstLine="420"/>
      </w:pPr>
      <w:r>
        <w:rPr>
          <w:rFonts w:hint="eastAsia"/>
        </w:rPr>
        <w:t>废水生物处理可行性分析主要包括可生化性分析和生物脱氮潜力分析。</w:t>
      </w:r>
    </w:p>
    <w:p w14:paraId="6A5A116E">
      <w:pPr>
        <w:pStyle w:val="174"/>
      </w:pPr>
      <w:r>
        <w:rPr>
          <w:rFonts w:hint="eastAsia"/>
        </w:rPr>
        <w:t>可生化性分析</w:t>
      </w:r>
    </w:p>
    <w:p w14:paraId="38A02916">
      <w:pPr>
        <w:pStyle w:val="56"/>
        <w:ind w:firstLine="420"/>
      </w:pPr>
      <w:r>
        <w:rPr>
          <w:rFonts w:hint="eastAsia"/>
          <w:kern w:val="44"/>
          <w:szCs w:val="21"/>
        </w:rPr>
        <w:t>分析废水中BC比（BOD</w:t>
      </w:r>
      <w:r>
        <w:rPr>
          <w:rFonts w:hint="eastAsia"/>
          <w:kern w:val="44"/>
          <w:szCs w:val="21"/>
          <w:vertAlign w:val="subscript"/>
        </w:rPr>
        <w:t>5</w:t>
      </w:r>
      <w:r>
        <w:rPr>
          <w:rFonts w:hint="eastAsia"/>
          <w:kern w:val="44"/>
          <w:szCs w:val="21"/>
        </w:rPr>
        <w:t>/COD</w:t>
      </w:r>
      <w:r>
        <w:rPr>
          <w:kern w:val="44"/>
          <w:szCs w:val="21"/>
          <w:vertAlign w:val="subscript"/>
        </w:rPr>
        <w:t>C</w:t>
      </w:r>
      <w:r>
        <w:rPr>
          <w:rFonts w:hint="eastAsia"/>
          <w:kern w:val="44"/>
          <w:szCs w:val="21"/>
          <w:vertAlign w:val="subscript"/>
        </w:rPr>
        <w:t>r</w:t>
      </w:r>
      <w:r>
        <w:rPr>
          <w:rFonts w:hint="eastAsia"/>
          <w:kern w:val="44"/>
          <w:szCs w:val="21"/>
        </w:rPr>
        <w:t>比值）</w:t>
      </w:r>
      <w:r>
        <w:rPr>
          <w:rFonts w:hint="eastAsia"/>
        </w:rPr>
        <w:t>，</w:t>
      </w:r>
      <w:r>
        <w:rPr>
          <w:rFonts w:hint="eastAsia"/>
          <w:kern w:val="44"/>
          <w:szCs w:val="21"/>
        </w:rPr>
        <w:t>并根据表1判断废水的可生化性</w:t>
      </w:r>
      <w:r>
        <w:rPr>
          <w:rFonts w:hint="eastAsia"/>
        </w:rPr>
        <w:t>。</w:t>
      </w:r>
    </w:p>
    <w:p w14:paraId="73550E6D">
      <w:pPr>
        <w:pStyle w:val="112"/>
        <w:spacing w:before="156" w:after="156"/>
      </w:pPr>
      <w:r>
        <w:rPr>
          <w:rFonts w:hint="eastAsia"/>
        </w:rPr>
        <w:t xml:space="preserve"> 可生化性分级</w:t>
      </w:r>
    </w:p>
    <w:tbl>
      <w:tblPr>
        <w:tblStyle w:val="27"/>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905"/>
        <w:gridCol w:w="2808"/>
        <w:gridCol w:w="2302"/>
        <w:gridCol w:w="2359"/>
      </w:tblGrid>
      <w:tr w14:paraId="229694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016" w:type="pct"/>
            <w:tcBorders>
              <w:top w:val="single" w:color="auto" w:sz="8" w:space="0"/>
              <w:bottom w:val="single" w:color="auto" w:sz="8" w:space="0"/>
            </w:tcBorders>
            <w:shd w:val="clear" w:color="auto" w:fill="auto"/>
            <w:vAlign w:val="center"/>
          </w:tcPr>
          <w:p w14:paraId="211758D8">
            <w:pPr>
              <w:spacing w:line="240" w:lineRule="auto"/>
              <w:jc w:val="center"/>
              <w:rPr>
                <w:rFonts w:ascii="Times New Roman" w:hAnsi="Times New Roman" w:eastAsia="微软雅黑"/>
                <w:kern w:val="44"/>
                <w:sz w:val="18"/>
              </w:rPr>
            </w:pPr>
            <w:r>
              <w:rPr>
                <w:rFonts w:ascii="Times New Roman" w:hAnsi="Times New Roman" w:eastAsia="微软雅黑"/>
                <w:kern w:val="44"/>
                <w:sz w:val="18"/>
              </w:rPr>
              <w:t>BOD</w:t>
            </w:r>
            <w:r>
              <w:rPr>
                <w:rFonts w:ascii="Times New Roman" w:hAnsi="Times New Roman" w:eastAsia="微软雅黑"/>
                <w:kern w:val="44"/>
                <w:sz w:val="18"/>
                <w:vertAlign w:val="subscript"/>
              </w:rPr>
              <w:t>5</w:t>
            </w:r>
            <w:r>
              <w:rPr>
                <w:rFonts w:ascii="Times New Roman" w:hAnsi="Times New Roman" w:eastAsia="微软雅黑"/>
                <w:kern w:val="44"/>
                <w:sz w:val="18"/>
              </w:rPr>
              <w:t>/COD</w:t>
            </w:r>
            <w:r>
              <w:rPr>
                <w:rFonts w:ascii="Times New Roman" w:hAnsi="Times New Roman" w:eastAsia="微软雅黑"/>
                <w:kern w:val="44"/>
                <w:sz w:val="18"/>
                <w:vertAlign w:val="subscript"/>
              </w:rPr>
              <w:t>C</w:t>
            </w:r>
            <w:r>
              <w:rPr>
                <w:rFonts w:hint="eastAsia" w:ascii="Times New Roman" w:hAnsi="Times New Roman" w:eastAsia="微软雅黑"/>
                <w:kern w:val="44"/>
                <w:sz w:val="18"/>
                <w:vertAlign w:val="subscript"/>
              </w:rPr>
              <w:t>r</w:t>
            </w:r>
          </w:p>
        </w:tc>
        <w:tc>
          <w:tcPr>
            <w:tcW w:w="1498" w:type="pct"/>
            <w:tcBorders>
              <w:top w:val="single" w:color="auto" w:sz="8" w:space="0"/>
              <w:bottom w:val="single" w:color="auto" w:sz="8" w:space="0"/>
            </w:tcBorders>
            <w:shd w:val="clear" w:color="auto" w:fill="auto"/>
            <w:vAlign w:val="center"/>
          </w:tcPr>
          <w:p w14:paraId="17B82A04">
            <w:pPr>
              <w:spacing w:line="240" w:lineRule="auto"/>
              <w:jc w:val="center"/>
              <w:rPr>
                <w:rFonts w:ascii="Times New Roman" w:hAnsi="Times New Roman" w:eastAsia="微软雅黑"/>
                <w:kern w:val="44"/>
                <w:sz w:val="18"/>
              </w:rPr>
            </w:pPr>
            <w:r>
              <w:rPr>
                <w:rFonts w:ascii="Times New Roman" w:hAnsi="Times New Roman" w:eastAsia="微软雅黑"/>
                <w:kern w:val="44"/>
                <w:sz w:val="18"/>
              </w:rPr>
              <w:t>&gt;0.45</w:t>
            </w:r>
          </w:p>
        </w:tc>
        <w:tc>
          <w:tcPr>
            <w:tcW w:w="1228" w:type="pct"/>
            <w:tcBorders>
              <w:top w:val="single" w:color="auto" w:sz="8" w:space="0"/>
              <w:bottom w:val="single" w:color="auto" w:sz="8" w:space="0"/>
            </w:tcBorders>
            <w:shd w:val="clear" w:color="auto" w:fill="auto"/>
            <w:vAlign w:val="center"/>
          </w:tcPr>
          <w:p w14:paraId="0F30A33D">
            <w:pPr>
              <w:spacing w:line="240" w:lineRule="auto"/>
              <w:jc w:val="center"/>
              <w:rPr>
                <w:rFonts w:ascii="Times New Roman" w:hAnsi="Times New Roman" w:eastAsia="微软雅黑"/>
                <w:kern w:val="44"/>
                <w:sz w:val="18"/>
              </w:rPr>
            </w:pPr>
            <w:r>
              <w:rPr>
                <w:rFonts w:ascii="Times New Roman" w:hAnsi="Times New Roman" w:eastAsia="微软雅黑"/>
                <w:kern w:val="44"/>
                <w:sz w:val="18"/>
              </w:rPr>
              <w:t>0.3~0.5</w:t>
            </w:r>
          </w:p>
        </w:tc>
        <w:tc>
          <w:tcPr>
            <w:tcW w:w="1258" w:type="pct"/>
            <w:tcBorders>
              <w:top w:val="single" w:color="auto" w:sz="8" w:space="0"/>
              <w:bottom w:val="single" w:color="auto" w:sz="8" w:space="0"/>
            </w:tcBorders>
            <w:shd w:val="clear" w:color="auto" w:fill="auto"/>
            <w:vAlign w:val="center"/>
          </w:tcPr>
          <w:p w14:paraId="57F30F16">
            <w:pPr>
              <w:spacing w:line="240" w:lineRule="auto"/>
              <w:jc w:val="center"/>
              <w:rPr>
                <w:rFonts w:ascii="Times New Roman" w:hAnsi="Times New Roman" w:eastAsia="微软雅黑"/>
                <w:kern w:val="44"/>
                <w:sz w:val="18"/>
              </w:rPr>
            </w:pPr>
            <w:r>
              <w:rPr>
                <w:rFonts w:ascii="Times New Roman" w:hAnsi="Times New Roman" w:eastAsia="微软雅黑"/>
                <w:kern w:val="44"/>
                <w:sz w:val="18"/>
              </w:rPr>
              <w:t>&lt;0.3</w:t>
            </w:r>
          </w:p>
        </w:tc>
      </w:tr>
      <w:tr w14:paraId="1F9F67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016" w:type="pct"/>
            <w:tcBorders>
              <w:top w:val="single" w:color="auto" w:sz="8" w:space="0"/>
            </w:tcBorders>
            <w:shd w:val="clear" w:color="auto" w:fill="auto"/>
            <w:vAlign w:val="center"/>
          </w:tcPr>
          <w:p w14:paraId="05BCDD34">
            <w:pPr>
              <w:spacing w:line="240" w:lineRule="auto"/>
              <w:jc w:val="center"/>
              <w:rPr>
                <w:rFonts w:ascii="Times New Roman" w:hAnsi="Times New Roman"/>
                <w:kern w:val="44"/>
                <w:sz w:val="18"/>
              </w:rPr>
            </w:pPr>
            <w:r>
              <w:rPr>
                <w:rFonts w:ascii="Times New Roman" w:hAnsi="Times New Roman"/>
                <w:kern w:val="44"/>
                <w:sz w:val="18"/>
              </w:rPr>
              <w:t>可生化性</w:t>
            </w:r>
          </w:p>
        </w:tc>
        <w:tc>
          <w:tcPr>
            <w:tcW w:w="2796" w:type="dxa"/>
            <w:tcBorders>
              <w:top w:val="single" w:color="auto" w:sz="8" w:space="0"/>
            </w:tcBorders>
            <w:shd w:val="clear" w:color="auto" w:fill="auto"/>
            <w:vAlign w:val="center"/>
          </w:tcPr>
          <w:p w14:paraId="397EBE00">
            <w:pPr>
              <w:spacing w:line="240" w:lineRule="auto"/>
              <w:jc w:val="center"/>
              <w:rPr>
                <w:rFonts w:ascii="Times New Roman" w:hAnsi="Times New Roman"/>
                <w:kern w:val="44"/>
                <w:sz w:val="18"/>
              </w:rPr>
            </w:pPr>
            <w:r>
              <w:rPr>
                <w:rFonts w:ascii="Times New Roman" w:hAnsi="Times New Roman"/>
                <w:kern w:val="44"/>
                <w:sz w:val="18"/>
              </w:rPr>
              <w:t>良好</w:t>
            </w:r>
          </w:p>
        </w:tc>
        <w:tc>
          <w:tcPr>
            <w:tcW w:w="2292" w:type="dxa"/>
            <w:tcBorders>
              <w:top w:val="single" w:color="auto" w:sz="8" w:space="0"/>
            </w:tcBorders>
            <w:shd w:val="clear" w:color="auto" w:fill="auto"/>
            <w:vAlign w:val="center"/>
          </w:tcPr>
          <w:p w14:paraId="4E4BE2FC">
            <w:pPr>
              <w:spacing w:line="240" w:lineRule="auto"/>
              <w:jc w:val="center"/>
              <w:rPr>
                <w:rFonts w:ascii="Times New Roman" w:hAnsi="Times New Roman"/>
                <w:kern w:val="44"/>
                <w:sz w:val="18"/>
              </w:rPr>
            </w:pPr>
            <w:r>
              <w:rPr>
                <w:rFonts w:ascii="Times New Roman" w:hAnsi="Times New Roman"/>
                <w:kern w:val="44"/>
                <w:sz w:val="18"/>
              </w:rPr>
              <w:t>较好</w:t>
            </w:r>
          </w:p>
        </w:tc>
        <w:tc>
          <w:tcPr>
            <w:tcW w:w="2349" w:type="dxa"/>
            <w:tcBorders>
              <w:top w:val="single" w:color="auto" w:sz="8" w:space="0"/>
            </w:tcBorders>
            <w:shd w:val="clear" w:color="auto" w:fill="auto"/>
            <w:vAlign w:val="center"/>
          </w:tcPr>
          <w:p w14:paraId="504FC758">
            <w:pPr>
              <w:spacing w:line="240" w:lineRule="auto"/>
              <w:jc w:val="center"/>
              <w:rPr>
                <w:rFonts w:ascii="Times New Roman" w:hAnsi="Times New Roman"/>
                <w:kern w:val="44"/>
                <w:sz w:val="18"/>
              </w:rPr>
            </w:pPr>
            <w:r>
              <w:rPr>
                <w:rFonts w:ascii="Times New Roman" w:hAnsi="Times New Roman"/>
                <w:kern w:val="44"/>
                <w:sz w:val="18"/>
              </w:rPr>
              <w:t>较差</w:t>
            </w:r>
          </w:p>
        </w:tc>
      </w:tr>
    </w:tbl>
    <w:p w14:paraId="62320F5A">
      <w:pPr>
        <w:pStyle w:val="174"/>
      </w:pPr>
      <w:r>
        <w:rPr>
          <w:rFonts w:hint="eastAsia"/>
        </w:rPr>
        <w:t>生物脱氮潜力分析</w:t>
      </w:r>
    </w:p>
    <w:p w14:paraId="4142BB51">
      <w:pPr>
        <w:pStyle w:val="174"/>
        <w:numPr>
          <w:ilvl w:val="0"/>
          <w:numId w:val="0"/>
        </w:numPr>
        <w:ind w:left="851" w:hanging="426"/>
        <w:rPr>
          <w:rFonts w:hint="eastAsia" w:hAnsi="宋体"/>
          <w:szCs w:val="21"/>
        </w:rPr>
      </w:pPr>
      <w:r>
        <w:rPr>
          <w:rFonts w:hint="eastAsia" w:hAnsi="宋体"/>
          <w:kern w:val="44"/>
          <w:szCs w:val="21"/>
        </w:rPr>
        <w:t>分析废水中CN比（</w:t>
      </w:r>
      <w:r>
        <w:rPr>
          <w:rFonts w:hAnsi="宋体"/>
          <w:kern w:val="44"/>
          <w:szCs w:val="21"/>
        </w:rPr>
        <w:t>BOD</w:t>
      </w:r>
      <w:r>
        <w:rPr>
          <w:rFonts w:hAnsi="宋体"/>
          <w:kern w:val="44"/>
          <w:szCs w:val="21"/>
          <w:vertAlign w:val="subscript"/>
        </w:rPr>
        <w:t>5</w:t>
      </w:r>
      <w:r>
        <w:rPr>
          <w:rFonts w:hint="eastAsia" w:hAnsi="宋体"/>
          <w:kern w:val="44"/>
          <w:szCs w:val="21"/>
        </w:rPr>
        <w:t>/TN比值），并根据表2判断废水生物脱氮潜力。</w:t>
      </w:r>
    </w:p>
    <w:p w14:paraId="3818E3B9">
      <w:pPr>
        <w:pStyle w:val="112"/>
        <w:spacing w:before="156" w:after="156"/>
      </w:pPr>
      <w:r>
        <w:rPr>
          <w:rFonts w:hint="eastAsia"/>
        </w:rPr>
        <w:t>生物脱氮潜力分级</w:t>
      </w:r>
    </w:p>
    <w:tbl>
      <w:tblPr>
        <w:tblStyle w:val="26"/>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905"/>
        <w:gridCol w:w="2808"/>
        <w:gridCol w:w="2295"/>
        <w:gridCol w:w="2366"/>
      </w:tblGrid>
      <w:tr w14:paraId="369ED4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016" w:type="pct"/>
            <w:tcBorders>
              <w:top w:val="single" w:color="auto" w:sz="8" w:space="0"/>
              <w:bottom w:val="single" w:color="auto" w:sz="8" w:space="0"/>
            </w:tcBorders>
            <w:shd w:val="clear" w:color="auto" w:fill="auto"/>
            <w:vAlign w:val="center"/>
          </w:tcPr>
          <w:p w14:paraId="2DE50D1F">
            <w:pPr>
              <w:spacing w:line="240" w:lineRule="auto"/>
              <w:jc w:val="center"/>
              <w:rPr>
                <w:rFonts w:ascii="Times New Roman" w:hAnsi="Times New Roman"/>
                <w:kern w:val="44"/>
                <w:sz w:val="18"/>
              </w:rPr>
            </w:pPr>
            <w:r>
              <w:rPr>
                <w:rFonts w:ascii="Times New Roman" w:hAnsi="Times New Roman" w:eastAsia="微软雅黑"/>
                <w:kern w:val="44"/>
                <w:sz w:val="18"/>
              </w:rPr>
              <w:t>BOD</w:t>
            </w:r>
            <w:r>
              <w:rPr>
                <w:rFonts w:ascii="Times New Roman" w:hAnsi="Times New Roman" w:eastAsia="微软雅黑"/>
                <w:kern w:val="44"/>
                <w:sz w:val="18"/>
                <w:vertAlign w:val="subscript"/>
              </w:rPr>
              <w:t>5</w:t>
            </w:r>
            <w:r>
              <w:rPr>
                <w:rFonts w:ascii="Times New Roman" w:hAnsi="Times New Roman" w:eastAsia="微软雅黑"/>
                <w:kern w:val="44"/>
                <w:sz w:val="18"/>
              </w:rPr>
              <w:t>/</w:t>
            </w:r>
            <w:r>
              <w:rPr>
                <w:rFonts w:ascii="Times New Roman" w:hAnsi="Times New Roman"/>
                <w:kern w:val="44"/>
                <w:sz w:val="18"/>
              </w:rPr>
              <w:t>TN</w:t>
            </w:r>
          </w:p>
        </w:tc>
        <w:tc>
          <w:tcPr>
            <w:tcW w:w="1498" w:type="pct"/>
            <w:tcBorders>
              <w:top w:val="single" w:color="auto" w:sz="8" w:space="0"/>
              <w:bottom w:val="single" w:color="auto" w:sz="8" w:space="0"/>
            </w:tcBorders>
            <w:shd w:val="clear" w:color="auto" w:fill="auto"/>
            <w:vAlign w:val="center"/>
          </w:tcPr>
          <w:p w14:paraId="47351ABB">
            <w:pPr>
              <w:spacing w:line="240" w:lineRule="auto"/>
              <w:jc w:val="center"/>
              <w:rPr>
                <w:rFonts w:ascii="Times New Roman" w:hAnsi="Times New Roman"/>
                <w:kern w:val="44"/>
                <w:sz w:val="18"/>
              </w:rPr>
            </w:pPr>
            <w:r>
              <w:rPr>
                <w:rFonts w:ascii="Times New Roman" w:hAnsi="Times New Roman" w:eastAsia="微软雅黑"/>
                <w:kern w:val="44"/>
                <w:sz w:val="18"/>
              </w:rPr>
              <w:t>&gt;6</w:t>
            </w:r>
          </w:p>
        </w:tc>
        <w:tc>
          <w:tcPr>
            <w:tcW w:w="1224" w:type="pct"/>
            <w:tcBorders>
              <w:top w:val="single" w:color="auto" w:sz="8" w:space="0"/>
              <w:bottom w:val="single" w:color="auto" w:sz="8" w:space="0"/>
            </w:tcBorders>
            <w:shd w:val="clear" w:color="auto" w:fill="auto"/>
            <w:vAlign w:val="center"/>
          </w:tcPr>
          <w:p w14:paraId="5B4F41D0">
            <w:pPr>
              <w:spacing w:line="240" w:lineRule="auto"/>
              <w:jc w:val="center"/>
              <w:rPr>
                <w:rFonts w:ascii="Times New Roman" w:hAnsi="Times New Roman"/>
                <w:kern w:val="44"/>
                <w:sz w:val="18"/>
              </w:rPr>
            </w:pPr>
            <w:r>
              <w:rPr>
                <w:rFonts w:ascii="Times New Roman" w:hAnsi="Times New Roman"/>
                <w:kern w:val="44"/>
                <w:sz w:val="18"/>
              </w:rPr>
              <w:t>4~6</w:t>
            </w:r>
          </w:p>
        </w:tc>
        <w:tc>
          <w:tcPr>
            <w:tcW w:w="1262" w:type="pct"/>
            <w:tcBorders>
              <w:top w:val="single" w:color="auto" w:sz="8" w:space="0"/>
              <w:bottom w:val="single" w:color="auto" w:sz="8" w:space="0"/>
            </w:tcBorders>
            <w:shd w:val="clear" w:color="auto" w:fill="auto"/>
            <w:vAlign w:val="center"/>
          </w:tcPr>
          <w:p w14:paraId="0A9CA627">
            <w:pPr>
              <w:spacing w:line="240" w:lineRule="auto"/>
              <w:jc w:val="center"/>
              <w:rPr>
                <w:rFonts w:ascii="Times New Roman" w:hAnsi="Times New Roman"/>
                <w:kern w:val="44"/>
                <w:sz w:val="18"/>
              </w:rPr>
            </w:pPr>
            <w:r>
              <w:rPr>
                <w:rFonts w:ascii="Times New Roman" w:hAnsi="Times New Roman"/>
                <w:kern w:val="44"/>
                <w:sz w:val="18"/>
              </w:rPr>
              <w:t>&lt;4</w:t>
            </w:r>
          </w:p>
        </w:tc>
      </w:tr>
      <w:tr w14:paraId="76A31C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016" w:type="pct"/>
            <w:tcBorders>
              <w:top w:val="single" w:color="auto" w:sz="8" w:space="0"/>
            </w:tcBorders>
            <w:shd w:val="clear" w:color="auto" w:fill="auto"/>
            <w:vAlign w:val="center"/>
          </w:tcPr>
          <w:p w14:paraId="064FC948">
            <w:pPr>
              <w:spacing w:line="240" w:lineRule="auto"/>
              <w:jc w:val="center"/>
              <w:rPr>
                <w:rFonts w:ascii="Times New Roman" w:hAnsi="Times New Roman"/>
                <w:kern w:val="44"/>
                <w:sz w:val="18"/>
              </w:rPr>
            </w:pPr>
            <w:r>
              <w:rPr>
                <w:rFonts w:hint="eastAsia" w:ascii="Times New Roman" w:hAnsi="Times New Roman"/>
                <w:kern w:val="44"/>
                <w:sz w:val="18"/>
              </w:rPr>
              <w:t>生物脱氮潜力</w:t>
            </w:r>
          </w:p>
        </w:tc>
        <w:tc>
          <w:tcPr>
            <w:tcW w:w="1498" w:type="pct"/>
            <w:tcBorders>
              <w:top w:val="single" w:color="auto" w:sz="8" w:space="0"/>
            </w:tcBorders>
            <w:shd w:val="clear" w:color="auto" w:fill="auto"/>
            <w:vAlign w:val="center"/>
          </w:tcPr>
          <w:p w14:paraId="3DE989C0">
            <w:pPr>
              <w:spacing w:line="240" w:lineRule="auto"/>
              <w:jc w:val="center"/>
              <w:rPr>
                <w:rFonts w:ascii="Times New Roman" w:hAnsi="Times New Roman"/>
                <w:kern w:val="44"/>
                <w:sz w:val="18"/>
              </w:rPr>
            </w:pPr>
            <w:r>
              <w:rPr>
                <w:rFonts w:ascii="Times New Roman" w:hAnsi="Times New Roman"/>
                <w:kern w:val="44"/>
                <w:sz w:val="18"/>
              </w:rPr>
              <w:t>良好</w:t>
            </w:r>
          </w:p>
        </w:tc>
        <w:tc>
          <w:tcPr>
            <w:tcW w:w="1224" w:type="pct"/>
            <w:tcBorders>
              <w:top w:val="single" w:color="auto" w:sz="8" w:space="0"/>
            </w:tcBorders>
            <w:shd w:val="clear" w:color="auto" w:fill="auto"/>
            <w:vAlign w:val="center"/>
          </w:tcPr>
          <w:p w14:paraId="4356663D">
            <w:pPr>
              <w:spacing w:line="240" w:lineRule="auto"/>
              <w:jc w:val="center"/>
              <w:rPr>
                <w:rFonts w:ascii="Times New Roman" w:hAnsi="Times New Roman"/>
                <w:kern w:val="44"/>
                <w:sz w:val="18"/>
              </w:rPr>
            </w:pPr>
            <w:r>
              <w:rPr>
                <w:rFonts w:ascii="Times New Roman" w:hAnsi="Times New Roman"/>
                <w:kern w:val="44"/>
                <w:sz w:val="18"/>
              </w:rPr>
              <w:t>较好</w:t>
            </w:r>
          </w:p>
        </w:tc>
        <w:tc>
          <w:tcPr>
            <w:tcW w:w="1262" w:type="pct"/>
            <w:tcBorders>
              <w:top w:val="single" w:color="auto" w:sz="8" w:space="0"/>
            </w:tcBorders>
            <w:shd w:val="clear" w:color="auto" w:fill="auto"/>
            <w:vAlign w:val="center"/>
          </w:tcPr>
          <w:p w14:paraId="649D03AE">
            <w:pPr>
              <w:spacing w:line="240" w:lineRule="auto"/>
              <w:jc w:val="center"/>
              <w:rPr>
                <w:rFonts w:ascii="Times New Roman" w:hAnsi="Times New Roman"/>
                <w:kern w:val="44"/>
                <w:sz w:val="18"/>
              </w:rPr>
            </w:pPr>
            <w:r>
              <w:rPr>
                <w:rFonts w:ascii="Times New Roman" w:hAnsi="Times New Roman"/>
                <w:kern w:val="44"/>
                <w:sz w:val="18"/>
              </w:rPr>
              <w:t>较差</w:t>
            </w:r>
          </w:p>
        </w:tc>
      </w:tr>
    </w:tbl>
    <w:p w14:paraId="6A770F02">
      <w:pPr>
        <w:pStyle w:val="105"/>
        <w:spacing w:before="156" w:after="156"/>
      </w:pPr>
      <w:r>
        <w:rPr>
          <w:rFonts w:hint="eastAsia"/>
        </w:rPr>
        <w:t>碳源利用方式分析</w:t>
      </w:r>
    </w:p>
    <w:p w14:paraId="56847510">
      <w:pPr>
        <w:pStyle w:val="165"/>
      </w:pPr>
      <w:r>
        <w:rPr>
          <w:rFonts w:hint="eastAsia"/>
        </w:rPr>
        <w:t>根据可生化性、生物脱氮潜力对废水是否能进行碳源综合利用按表3进行判断分析。</w:t>
      </w:r>
    </w:p>
    <w:p w14:paraId="13838EAF">
      <w:pPr>
        <w:pStyle w:val="112"/>
        <w:spacing w:before="156" w:after="156"/>
      </w:pPr>
      <w:r>
        <w:rPr>
          <w:rFonts w:hint="eastAsia"/>
        </w:rPr>
        <w:t>碳源基本判断</w:t>
      </w:r>
    </w:p>
    <w:tbl>
      <w:tblPr>
        <w:tblStyle w:val="27"/>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183"/>
        <w:gridCol w:w="1185"/>
        <w:gridCol w:w="2366"/>
        <w:gridCol w:w="2321"/>
        <w:gridCol w:w="2319"/>
      </w:tblGrid>
      <w:tr w14:paraId="53A1C8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1263" w:type="pct"/>
            <w:gridSpan w:val="2"/>
            <w:vMerge w:val="restart"/>
            <w:tcBorders>
              <w:top w:val="single" w:color="auto" w:sz="8" w:space="0"/>
              <w:bottom w:val="single" w:color="auto" w:sz="4" w:space="0"/>
            </w:tcBorders>
            <w:shd w:val="clear" w:color="auto" w:fill="auto"/>
            <w:vAlign w:val="center"/>
          </w:tcPr>
          <w:p w14:paraId="3E2EA742">
            <w:pPr>
              <w:pStyle w:val="178"/>
            </w:pPr>
            <w:bookmarkStart w:id="57" w:name="_Hlk234914363"/>
            <w:r>
              <w:rPr>
                <w:rFonts w:hint="eastAsia"/>
              </w:rPr>
              <w:t>废水</w:t>
            </w:r>
          </w:p>
        </w:tc>
        <w:tc>
          <w:tcPr>
            <w:tcW w:w="3737" w:type="pct"/>
            <w:gridSpan w:val="3"/>
            <w:tcBorders>
              <w:top w:val="single" w:color="auto" w:sz="8" w:space="0"/>
              <w:bottom w:val="single" w:color="auto" w:sz="8" w:space="0"/>
            </w:tcBorders>
            <w:shd w:val="clear" w:color="auto" w:fill="auto"/>
            <w:vAlign w:val="center"/>
          </w:tcPr>
          <w:p w14:paraId="2E497888">
            <w:pPr>
              <w:pStyle w:val="178"/>
            </w:pPr>
            <w:r>
              <w:rPr>
                <w:rFonts w:hint="eastAsia"/>
              </w:rPr>
              <w:t>BC比</w:t>
            </w:r>
          </w:p>
        </w:tc>
      </w:tr>
      <w:tr w14:paraId="647D3C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1263" w:type="pct"/>
            <w:gridSpan w:val="2"/>
            <w:vMerge w:val="continue"/>
            <w:tcBorders>
              <w:top w:val="single" w:color="auto" w:sz="4" w:space="0"/>
              <w:bottom w:val="single" w:color="auto" w:sz="4" w:space="0"/>
            </w:tcBorders>
            <w:shd w:val="clear" w:color="auto" w:fill="auto"/>
            <w:vAlign w:val="center"/>
          </w:tcPr>
          <w:p w14:paraId="5667958E">
            <w:pPr>
              <w:pStyle w:val="178"/>
            </w:pPr>
          </w:p>
        </w:tc>
        <w:tc>
          <w:tcPr>
            <w:tcW w:w="1262" w:type="pct"/>
            <w:tcBorders>
              <w:top w:val="single" w:color="auto" w:sz="8" w:space="0"/>
              <w:bottom w:val="single" w:color="auto" w:sz="8" w:space="0"/>
            </w:tcBorders>
            <w:shd w:val="clear" w:color="auto" w:fill="auto"/>
            <w:vAlign w:val="center"/>
          </w:tcPr>
          <w:p w14:paraId="5EE1530F">
            <w:pPr>
              <w:pStyle w:val="178"/>
            </w:pPr>
            <w:r>
              <w:rPr>
                <w:rFonts w:hint="eastAsia"/>
              </w:rPr>
              <w:t>良好</w:t>
            </w:r>
          </w:p>
        </w:tc>
        <w:tc>
          <w:tcPr>
            <w:tcW w:w="1238" w:type="pct"/>
            <w:tcBorders>
              <w:top w:val="single" w:color="auto" w:sz="8" w:space="0"/>
              <w:bottom w:val="single" w:color="auto" w:sz="8" w:space="0"/>
            </w:tcBorders>
            <w:shd w:val="clear" w:color="auto" w:fill="auto"/>
          </w:tcPr>
          <w:p w14:paraId="053C4490">
            <w:pPr>
              <w:pStyle w:val="178"/>
            </w:pPr>
            <w:r>
              <w:rPr>
                <w:rFonts w:hint="eastAsia"/>
              </w:rPr>
              <w:t>较好</w:t>
            </w:r>
          </w:p>
        </w:tc>
        <w:tc>
          <w:tcPr>
            <w:tcW w:w="1237" w:type="pct"/>
            <w:tcBorders>
              <w:top w:val="single" w:color="auto" w:sz="8" w:space="0"/>
              <w:bottom w:val="single" w:color="auto" w:sz="8" w:space="0"/>
            </w:tcBorders>
            <w:shd w:val="clear" w:color="auto" w:fill="auto"/>
            <w:vAlign w:val="center"/>
          </w:tcPr>
          <w:p w14:paraId="741F012E">
            <w:pPr>
              <w:pStyle w:val="178"/>
            </w:pPr>
            <w:r>
              <w:rPr>
                <w:rFonts w:hint="eastAsia"/>
              </w:rPr>
              <w:t>较差</w:t>
            </w:r>
          </w:p>
        </w:tc>
      </w:tr>
      <w:tr w14:paraId="601C10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31" w:type="pct"/>
            <w:vMerge w:val="restart"/>
            <w:tcBorders>
              <w:top w:val="single" w:color="auto" w:sz="4" w:space="0"/>
            </w:tcBorders>
            <w:shd w:val="clear" w:color="auto" w:fill="auto"/>
            <w:vAlign w:val="center"/>
          </w:tcPr>
          <w:p w14:paraId="300877F6">
            <w:pPr>
              <w:pStyle w:val="178"/>
            </w:pPr>
            <w:r>
              <w:rPr>
                <w:rFonts w:hint="eastAsia"/>
              </w:rPr>
              <w:t>CN比</w:t>
            </w:r>
          </w:p>
        </w:tc>
        <w:tc>
          <w:tcPr>
            <w:tcW w:w="632" w:type="pct"/>
            <w:tcBorders>
              <w:top w:val="single" w:color="auto" w:sz="4" w:space="0"/>
            </w:tcBorders>
            <w:shd w:val="clear" w:color="auto" w:fill="auto"/>
            <w:vAlign w:val="center"/>
          </w:tcPr>
          <w:p w14:paraId="00A53B69">
            <w:pPr>
              <w:pStyle w:val="178"/>
            </w:pPr>
            <w:r>
              <w:rPr>
                <w:rFonts w:hint="eastAsia"/>
              </w:rPr>
              <w:t>良好</w:t>
            </w:r>
          </w:p>
        </w:tc>
        <w:tc>
          <w:tcPr>
            <w:tcW w:w="1262" w:type="pct"/>
            <w:tcBorders>
              <w:top w:val="single" w:color="auto" w:sz="8" w:space="0"/>
            </w:tcBorders>
            <w:shd w:val="clear" w:color="auto" w:fill="auto"/>
            <w:vAlign w:val="center"/>
          </w:tcPr>
          <w:p w14:paraId="5DE4D76D">
            <w:pPr>
              <w:pStyle w:val="178"/>
            </w:pPr>
            <w:r>
              <w:rPr>
                <w:rFonts w:hint="eastAsia"/>
              </w:rPr>
              <w:t>优质</w:t>
            </w:r>
          </w:p>
        </w:tc>
        <w:tc>
          <w:tcPr>
            <w:tcW w:w="1238" w:type="pct"/>
            <w:tcBorders>
              <w:top w:val="single" w:color="auto" w:sz="8" w:space="0"/>
            </w:tcBorders>
            <w:shd w:val="clear" w:color="auto" w:fill="auto"/>
          </w:tcPr>
          <w:p w14:paraId="320B583D">
            <w:pPr>
              <w:pStyle w:val="178"/>
            </w:pPr>
            <w:r>
              <w:rPr>
                <w:rFonts w:hint="eastAsia"/>
              </w:rPr>
              <w:t>优质</w:t>
            </w:r>
          </w:p>
        </w:tc>
        <w:tc>
          <w:tcPr>
            <w:tcW w:w="1237" w:type="pct"/>
            <w:tcBorders>
              <w:top w:val="single" w:color="auto" w:sz="8" w:space="0"/>
            </w:tcBorders>
            <w:shd w:val="clear" w:color="auto" w:fill="auto"/>
            <w:vAlign w:val="center"/>
          </w:tcPr>
          <w:p w14:paraId="2F2957DA">
            <w:pPr>
              <w:pStyle w:val="178"/>
            </w:pPr>
            <w:r>
              <w:rPr>
                <w:rFonts w:hint="eastAsia"/>
              </w:rPr>
              <w:t>不宜</w:t>
            </w:r>
          </w:p>
        </w:tc>
      </w:tr>
      <w:tr w14:paraId="77019E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31" w:type="pct"/>
            <w:vMerge w:val="continue"/>
            <w:shd w:val="clear" w:color="auto" w:fill="auto"/>
            <w:vAlign w:val="center"/>
          </w:tcPr>
          <w:p w14:paraId="720D25B3">
            <w:pPr>
              <w:pStyle w:val="178"/>
            </w:pPr>
          </w:p>
        </w:tc>
        <w:tc>
          <w:tcPr>
            <w:tcW w:w="632" w:type="pct"/>
            <w:shd w:val="clear" w:color="auto" w:fill="auto"/>
            <w:vAlign w:val="center"/>
          </w:tcPr>
          <w:p w14:paraId="2FB88574">
            <w:pPr>
              <w:pStyle w:val="178"/>
            </w:pPr>
            <w:r>
              <w:rPr>
                <w:rFonts w:hint="eastAsia"/>
              </w:rPr>
              <w:t>较好</w:t>
            </w:r>
          </w:p>
        </w:tc>
        <w:tc>
          <w:tcPr>
            <w:tcW w:w="1262" w:type="pct"/>
            <w:shd w:val="clear" w:color="auto" w:fill="auto"/>
            <w:vAlign w:val="center"/>
          </w:tcPr>
          <w:p w14:paraId="54E48D5A">
            <w:pPr>
              <w:pStyle w:val="178"/>
            </w:pPr>
            <w:r>
              <w:rPr>
                <w:rFonts w:hint="eastAsia"/>
              </w:rPr>
              <w:t>优质</w:t>
            </w:r>
          </w:p>
        </w:tc>
        <w:tc>
          <w:tcPr>
            <w:tcW w:w="1238" w:type="pct"/>
            <w:shd w:val="clear" w:color="auto" w:fill="auto"/>
          </w:tcPr>
          <w:p w14:paraId="04F519D6">
            <w:pPr>
              <w:pStyle w:val="178"/>
            </w:pPr>
            <w:r>
              <w:rPr>
                <w:rFonts w:hint="eastAsia"/>
              </w:rPr>
              <w:t>一般</w:t>
            </w:r>
          </w:p>
        </w:tc>
        <w:tc>
          <w:tcPr>
            <w:tcW w:w="1237" w:type="pct"/>
            <w:shd w:val="clear" w:color="auto" w:fill="auto"/>
            <w:vAlign w:val="center"/>
          </w:tcPr>
          <w:p w14:paraId="5F0FAA35">
            <w:pPr>
              <w:pStyle w:val="178"/>
            </w:pPr>
            <w:r>
              <w:rPr>
                <w:rFonts w:hint="eastAsia"/>
              </w:rPr>
              <w:t>不宜</w:t>
            </w:r>
          </w:p>
        </w:tc>
      </w:tr>
      <w:tr w14:paraId="40C5E7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31" w:type="pct"/>
            <w:vMerge w:val="continue"/>
            <w:tcBorders>
              <w:bottom w:val="single" w:color="auto" w:sz="8" w:space="0"/>
            </w:tcBorders>
            <w:shd w:val="clear" w:color="auto" w:fill="auto"/>
            <w:vAlign w:val="center"/>
          </w:tcPr>
          <w:p w14:paraId="544D0613">
            <w:pPr>
              <w:pStyle w:val="178"/>
            </w:pPr>
          </w:p>
        </w:tc>
        <w:tc>
          <w:tcPr>
            <w:tcW w:w="632" w:type="pct"/>
            <w:tcBorders>
              <w:bottom w:val="single" w:color="auto" w:sz="8" w:space="0"/>
            </w:tcBorders>
            <w:shd w:val="clear" w:color="auto" w:fill="auto"/>
            <w:vAlign w:val="center"/>
          </w:tcPr>
          <w:p w14:paraId="1426A585">
            <w:pPr>
              <w:pStyle w:val="178"/>
            </w:pPr>
            <w:r>
              <w:rPr>
                <w:rFonts w:hint="eastAsia"/>
              </w:rPr>
              <w:t>较差</w:t>
            </w:r>
          </w:p>
        </w:tc>
        <w:tc>
          <w:tcPr>
            <w:tcW w:w="1262" w:type="pct"/>
            <w:tcBorders>
              <w:bottom w:val="single" w:color="auto" w:sz="8" w:space="0"/>
            </w:tcBorders>
            <w:shd w:val="clear" w:color="auto" w:fill="auto"/>
            <w:vAlign w:val="center"/>
          </w:tcPr>
          <w:p w14:paraId="29A8998A">
            <w:pPr>
              <w:pStyle w:val="178"/>
            </w:pPr>
            <w:r>
              <w:rPr>
                <w:rFonts w:hint="eastAsia"/>
              </w:rPr>
              <w:t>一般</w:t>
            </w:r>
          </w:p>
        </w:tc>
        <w:tc>
          <w:tcPr>
            <w:tcW w:w="1238" w:type="pct"/>
            <w:tcBorders>
              <w:bottom w:val="single" w:color="auto" w:sz="8" w:space="0"/>
            </w:tcBorders>
            <w:shd w:val="clear" w:color="auto" w:fill="auto"/>
          </w:tcPr>
          <w:p w14:paraId="1E87E780">
            <w:pPr>
              <w:pStyle w:val="178"/>
            </w:pPr>
            <w:r>
              <w:rPr>
                <w:rFonts w:hint="eastAsia"/>
              </w:rPr>
              <w:t>不宜</w:t>
            </w:r>
          </w:p>
        </w:tc>
        <w:tc>
          <w:tcPr>
            <w:tcW w:w="1237" w:type="pct"/>
            <w:tcBorders>
              <w:bottom w:val="single" w:color="auto" w:sz="8" w:space="0"/>
            </w:tcBorders>
            <w:shd w:val="clear" w:color="auto" w:fill="auto"/>
            <w:vAlign w:val="center"/>
          </w:tcPr>
          <w:p w14:paraId="4416FBC7">
            <w:pPr>
              <w:pStyle w:val="178"/>
            </w:pPr>
            <w:r>
              <w:rPr>
                <w:rFonts w:hint="eastAsia"/>
              </w:rPr>
              <w:t>不宜</w:t>
            </w:r>
          </w:p>
        </w:tc>
      </w:tr>
      <w:bookmarkEnd w:id="57"/>
    </w:tbl>
    <w:p w14:paraId="745A3F4E">
      <w:pPr>
        <w:pStyle w:val="165"/>
      </w:pPr>
      <w:bookmarkStart w:id="58" w:name="_Hlk234914447"/>
      <w:r>
        <w:rPr>
          <w:rFonts w:hint="eastAsia"/>
        </w:rPr>
        <w:t>对于废水属于表3中“优质”“一般”的均可作为碳源进行综合利用。按利用方式，可分为直接利用和间接利用。</w:t>
      </w:r>
      <w:bookmarkEnd w:id="58"/>
    </w:p>
    <w:p w14:paraId="3D5D211F">
      <w:pPr>
        <w:pStyle w:val="179"/>
      </w:pPr>
      <w:bookmarkStart w:id="59" w:name="_Hlk234914470"/>
      <w:r>
        <w:rPr>
          <w:rFonts w:hint="eastAsia"/>
        </w:rPr>
        <w:t>直接利用为可直接作为碳源进行利用，即一部分或全部替代乙酸钠等化学碳源物质；间接利用为以提高污水集中处理设施可生化性为目标，以减少乙酸钠等化学碳源物质的使用。</w:t>
      </w:r>
    </w:p>
    <w:bookmarkEnd w:id="59"/>
    <w:p w14:paraId="0318C74B">
      <w:pPr>
        <w:pStyle w:val="165"/>
      </w:pPr>
      <w:r>
        <w:rPr>
          <w:rFonts w:hint="eastAsia"/>
        </w:rPr>
        <w:t>对于废水作为碳源直接利用的还应开展以下分析：</w:t>
      </w:r>
    </w:p>
    <w:p w14:paraId="77C5E251">
      <w:pPr>
        <w:pStyle w:val="164"/>
      </w:pPr>
      <w:r>
        <w:rPr>
          <w:rFonts w:hint="eastAsia"/>
        </w:rPr>
        <w:t>反硝化速率对比测试</w:t>
      </w:r>
    </w:p>
    <w:p w14:paraId="7D88433F">
      <w:pPr>
        <w:pStyle w:val="56"/>
        <w:shd w:val="clear" w:color="000000" w:fill="auto"/>
        <w:ind w:firstLine="420"/>
        <w:rPr>
          <w:rFonts w:ascii="Times New Roman"/>
        </w:rPr>
      </w:pPr>
      <w:r>
        <w:rPr>
          <w:rFonts w:hint="eastAsia" w:ascii="Times New Roman"/>
        </w:rPr>
        <w:t>对比废水开展</w:t>
      </w:r>
      <w:r>
        <w:rPr>
          <w:rFonts w:hint="eastAsia"/>
        </w:rPr>
        <w:t>反硝化速率对比测试</w:t>
      </w:r>
      <w:r>
        <w:rPr>
          <w:rFonts w:hint="eastAsia"/>
          <w:kern w:val="44"/>
          <w:szCs w:val="21"/>
        </w:rPr>
        <w:t>，具体要求如下：</w:t>
      </w:r>
    </w:p>
    <w:p w14:paraId="6F88B19C">
      <w:pPr>
        <w:pStyle w:val="174"/>
        <w:numPr>
          <w:ilvl w:val="0"/>
          <w:numId w:val="32"/>
        </w:numPr>
      </w:pPr>
      <w:r>
        <w:rPr>
          <w:rFonts w:hint="eastAsia"/>
        </w:rPr>
        <w:t>选取</w:t>
      </w:r>
      <w:r>
        <w:rPr>
          <w:rFonts w:hint="eastAsia" w:ascii="Times New Roman"/>
        </w:rPr>
        <w:t>集中处理设施</w:t>
      </w:r>
      <w:r>
        <w:rPr>
          <w:rFonts w:hint="eastAsia"/>
        </w:rPr>
        <w:t>缺氧池中的活性污泥作为测试的接种污泥，将废水、</w:t>
      </w:r>
      <w:r>
        <w:rPr>
          <w:rFonts w:hint="eastAsia" w:ascii="Times New Roman"/>
        </w:rPr>
        <w:t>污水集中处理设施进水、乙酸钠</w:t>
      </w:r>
      <w:r>
        <w:rPr>
          <w:rFonts w:hint="eastAsia"/>
        </w:rPr>
        <w:t>分别添加至向活性污泥中，测定各自的反硝化速率并进行对比。</w:t>
      </w:r>
    </w:p>
    <w:p w14:paraId="6A1292E6">
      <w:pPr>
        <w:pStyle w:val="174"/>
      </w:pPr>
      <w:r>
        <w:rPr>
          <w:rFonts w:hint="eastAsia"/>
        </w:rPr>
        <w:t>分析测试结果表征：废水反硝化速率达到或接近乙酸钠反硝化速率时，表明该废水可作为有效碳源，当废水的反硝化速率介于</w:t>
      </w:r>
      <w:r>
        <w:rPr>
          <w:rFonts w:hint="eastAsia" w:ascii="Times New Roman"/>
        </w:rPr>
        <w:t>污水集中处理设施进水</w:t>
      </w:r>
      <w:r>
        <w:rPr>
          <w:rFonts w:hint="eastAsia"/>
        </w:rPr>
        <w:t>与乙酸钠基准速率之间，说明废水有助于提高下游污水集中处理设施</w:t>
      </w:r>
      <w:r>
        <w:rPr>
          <w:rFonts w:hint="eastAsia" w:ascii="Times New Roman"/>
        </w:rPr>
        <w:t>进水</w:t>
      </w:r>
      <w:r>
        <w:rPr>
          <w:rFonts w:hint="eastAsia"/>
        </w:rPr>
        <w:t>的可生化性，但无法作为有效碳源。</w:t>
      </w:r>
    </w:p>
    <w:p w14:paraId="659A6AAD">
      <w:pPr>
        <w:pStyle w:val="164"/>
      </w:pPr>
      <w:r>
        <w:rPr>
          <w:rFonts w:hint="eastAsia"/>
        </w:rPr>
        <w:t>硝化反应抑制测试</w:t>
      </w:r>
    </w:p>
    <w:p w14:paraId="6FFB68FA">
      <w:pPr>
        <w:pStyle w:val="56"/>
        <w:shd w:val="clear" w:color="000000" w:fill="auto"/>
        <w:ind w:firstLine="420"/>
      </w:pPr>
      <w:r>
        <w:rPr>
          <w:rFonts w:hint="eastAsia"/>
        </w:rPr>
        <w:t>硝化抑制试验中的污泥取自污水处理厂好氧池，投加不同量的废水作为试验组开展对比试验，同时设置对照组，计算硝化速率抑制率，根据抑制率值大小考察采用废水作为碳源对污水处理厂硝化过程的影响，确定对污水处理过程中的硝化反应不会产生抑制作用的废水稀释比例。</w:t>
      </w:r>
    </w:p>
    <w:p w14:paraId="1AF741DF">
      <w:pPr>
        <w:pStyle w:val="164"/>
      </w:pPr>
      <w:r>
        <w:rPr>
          <w:rFonts w:hint="eastAsia"/>
        </w:rPr>
        <w:t>对磷去除的影响</w:t>
      </w:r>
    </w:p>
    <w:p w14:paraId="1AA6D604">
      <w:pPr>
        <w:pStyle w:val="56"/>
        <w:ind w:firstLine="420"/>
        <w:rPr>
          <w:rFonts w:ascii="Times New Roman"/>
          <w:kern w:val="21"/>
        </w:rPr>
      </w:pPr>
      <w:r>
        <w:rPr>
          <w:rFonts w:hint="eastAsia"/>
        </w:rPr>
        <w:t>在硝化抑制试验的同时测定反应体系中总磷浓度的变化以及硝化抑制试验中各试验组吸磷速率，考察废水对除磷过程的影响。</w:t>
      </w:r>
    </w:p>
    <w:p w14:paraId="0D6D0E4E">
      <w:pPr>
        <w:pStyle w:val="164"/>
      </w:pPr>
      <w:r>
        <w:rPr>
          <w:rFonts w:hint="eastAsia"/>
        </w:rPr>
        <w:t>耗氧速率的抑制测试</w:t>
      </w:r>
    </w:p>
    <w:p w14:paraId="2BCA7851">
      <w:pPr>
        <w:pStyle w:val="56"/>
        <w:ind w:firstLine="420"/>
      </w:pPr>
      <w:r>
        <w:rPr>
          <w:rFonts w:hint="eastAsia"/>
        </w:rPr>
        <w:t>活性污泥取自污水处理厂好氧池，采用污水处理厂实际进水作为对照组，计算采用易生物降解废水作为碳源是否会对耗氧速率产生抑制。</w:t>
      </w:r>
    </w:p>
    <w:p w14:paraId="44C5D89B">
      <w:pPr>
        <w:pStyle w:val="104"/>
        <w:shd w:val="clear" w:color="000000" w:fill="auto"/>
        <w:spacing w:before="312" w:after="312"/>
      </w:pPr>
      <w:bookmarkStart w:id="60" w:name="_Toc154853511"/>
      <w:bookmarkEnd w:id="60"/>
      <w:bookmarkStart w:id="61" w:name="_Toc154853513"/>
      <w:bookmarkEnd w:id="61"/>
      <w:bookmarkStart w:id="62" w:name="_Toc154853512"/>
      <w:bookmarkEnd w:id="62"/>
      <w:bookmarkStart w:id="63" w:name="_Toc21283"/>
      <w:bookmarkStart w:id="64" w:name="_Toc234580203"/>
      <w:r>
        <w:rPr>
          <w:rFonts w:hint="eastAsia" w:ascii="Times New Roman"/>
        </w:rPr>
        <w:t>污水集中处理设施的处理能力和碳源需求评估</w:t>
      </w:r>
      <w:bookmarkEnd w:id="63"/>
      <w:bookmarkEnd w:id="64"/>
    </w:p>
    <w:p w14:paraId="75139E21">
      <w:pPr>
        <w:pStyle w:val="105"/>
        <w:shd w:val="clear" w:color="000000" w:fill="auto"/>
        <w:spacing w:before="156" w:after="156"/>
      </w:pPr>
      <w:r>
        <w:rPr>
          <w:rFonts w:hint="eastAsia"/>
        </w:rPr>
        <w:t>处理能力评估</w:t>
      </w:r>
    </w:p>
    <w:p w14:paraId="0CA64071">
      <w:pPr>
        <w:pStyle w:val="65"/>
        <w:spacing w:before="156" w:after="156"/>
      </w:pPr>
      <w:r>
        <w:rPr>
          <w:rFonts w:hint="eastAsia"/>
        </w:rPr>
        <w:t>水量影响评估</w:t>
      </w:r>
    </w:p>
    <w:p w14:paraId="6102EA9E">
      <w:pPr>
        <w:pStyle w:val="56"/>
        <w:shd w:val="clear" w:color="000000" w:fill="auto"/>
        <w:ind w:firstLine="420"/>
      </w:pPr>
      <w:r>
        <w:rPr>
          <w:rFonts w:hint="eastAsia"/>
        </w:rPr>
        <w:t>调研污水集中处理设施设计处理能力、实际处理水量情况，宜采用年均值、月均值并结合工业企业生产旺季、节假日、汛期、暴雨等特殊排放时间段数据评估。当实际处理水量大于或等于设计处理水量时，说明污水集中处理设施处理能力不足，不具备接纳新的废水的能力。当实际处理水量小于设计处理水量时，新接纳废水对污水集中处理设施进水水量影响的确定按公式（1）判断</w:t>
      </w:r>
      <w:r>
        <w:t>：</w:t>
      </w:r>
    </w:p>
    <w:p w14:paraId="47EF98BF">
      <w:pPr>
        <w:pStyle w:val="113"/>
        <w:rPr>
          <w:rFonts w:hint="eastAsia"/>
        </w:rPr>
      </w:pPr>
      <w:r>
        <w:tab/>
      </w:r>
      <m:oMath>
        <m:sSub>
          <w:bookmarkStart w:id="65" w:name="_Hlk234914539"/>
          <m:sSubPr>
            <m:ctrlPr>
              <w:rPr>
                <w:rFonts w:ascii="Cambria Math" w:hAnsi="Cambria Math"/>
                <w:i/>
              </w:rPr>
            </m:ctrlPr>
          </m:sSubPr>
          <m:e>
            <m:r>
              <m:rPr/>
              <w:rPr>
                <w:rFonts w:ascii="Cambria Math"/>
              </w:rPr>
              <m:t>Q</m:t>
            </m:r>
            <m:ctrlPr>
              <w:rPr>
                <w:rFonts w:ascii="Cambria Math" w:hAnsi="Cambria Math"/>
                <w:i/>
              </w:rPr>
            </m:ctrlPr>
          </m:e>
          <m:sub>
            <m:r>
              <m:rPr/>
              <w:rPr>
                <w:rFonts w:hint="eastAsia" w:ascii="Cambria Math"/>
              </w:rPr>
              <m:t>wwpt</m:t>
            </m:r>
            <m:r>
              <m:rPr/>
              <w:rPr>
                <w:rFonts w:ascii="Cambria Math"/>
              </w:rPr>
              <m:t>−</m:t>
            </m:r>
            <m:r>
              <m:rPr>
                <m:sty m:val="p"/>
              </m:rPr>
              <w:rPr>
                <w:rFonts w:ascii="Cambria Math"/>
              </w:rPr>
              <m:t>协商</m:t>
            </m:r>
            <m:ctrlPr>
              <w:rPr>
                <w:rFonts w:ascii="Cambria Math" w:hAnsi="Cambria Math"/>
                <w:i/>
              </w:rPr>
            </m:ctrlPr>
          </m:sub>
        </m:sSub>
        <m:r>
          <m:rPr/>
          <w:rPr>
            <w:rFonts w:ascii="Cambria Math"/>
          </w:rPr>
          <m:t>=</m:t>
        </m:r>
        <m:sSub>
          <m:sSubPr>
            <m:ctrlPr>
              <w:rPr>
                <w:rFonts w:ascii="Cambria Math" w:hAnsi="Cambria Math"/>
                <w:i/>
              </w:rPr>
            </m:ctrlPr>
          </m:sSubPr>
          <m:e>
            <m:r>
              <m:rPr/>
              <w:rPr>
                <w:rFonts w:ascii="Cambria Math"/>
              </w:rPr>
              <m:t>Q</m:t>
            </m:r>
            <m:ctrlPr>
              <w:rPr>
                <w:rFonts w:ascii="Cambria Math" w:hAnsi="Cambria Math"/>
                <w:i/>
              </w:rPr>
            </m:ctrlPr>
          </m:e>
          <m:sub>
            <m:r>
              <m:rPr/>
              <w:rPr>
                <w:rFonts w:hint="eastAsia" w:ascii="Cambria Math"/>
              </w:rPr>
              <m:t>wwpt</m:t>
            </m:r>
            <m:ctrlPr>
              <w:rPr>
                <w:rFonts w:ascii="Cambria Math" w:hAnsi="Cambria Math"/>
                <w:i/>
              </w:rPr>
            </m:ctrlPr>
          </m:sub>
        </m:sSub>
        <m:r>
          <m:rPr/>
          <w:rPr>
            <w:rFonts w:ascii="Cambria Math"/>
          </w:rPr>
          <m:t>+</m:t>
        </m:r>
        <m:nary>
          <m:naryPr>
            <m:chr m:val="∑"/>
            <m:ctrlPr>
              <w:rPr>
                <w:rFonts w:ascii="Cambria Math" w:hAnsi="Cambria Math"/>
                <w:i/>
              </w:rPr>
            </m:ctrlPr>
          </m:naryPr>
          <m:sub>
            <m:r>
              <m:rPr/>
              <w:rPr>
                <w:rFonts w:ascii="Cambria Math"/>
              </w:rPr>
              <m:t>i=1</m:t>
            </m:r>
            <m:ctrlPr>
              <w:rPr>
                <w:rFonts w:ascii="Cambria Math" w:hAnsi="Cambria Math"/>
                <w:i/>
              </w:rPr>
            </m:ctrlPr>
          </m:sub>
          <m:sup>
            <m:r>
              <m:rPr/>
              <w:rPr>
                <w:rFonts w:ascii="Cambria Math"/>
              </w:rPr>
              <m:t>m</m:t>
            </m:r>
            <m:ctrlPr>
              <w:rPr>
                <w:rFonts w:ascii="Cambria Math" w:hAnsi="Cambria Math"/>
                <w:i/>
              </w:rPr>
            </m:ctrlPr>
          </m:sup>
          <m:e>
            <m:sSub>
              <m:sSubPr>
                <m:ctrlPr>
                  <w:rPr>
                    <w:rFonts w:ascii="Cambria Math" w:hAnsi="Cambria Math"/>
                    <w:i/>
                  </w:rPr>
                </m:ctrlPr>
              </m:sSubPr>
              <m:e>
                <m:r>
                  <m:rPr/>
                  <w:rPr>
                    <w:rFonts w:ascii="Cambria Math"/>
                  </w:rPr>
                  <m:t>Q</m:t>
                </m:r>
                <m:ctrlPr>
                  <w:rPr>
                    <w:rFonts w:ascii="Cambria Math" w:hAnsi="Cambria Math"/>
                    <w:i/>
                  </w:rPr>
                </m:ctrlPr>
              </m:e>
              <m:sub>
                <m:r>
                  <m:rPr/>
                  <w:rPr>
                    <w:rFonts w:hint="eastAsia" w:ascii="Cambria Math"/>
                  </w:rPr>
                  <m:t>i</m:t>
                </m:r>
                <m:r>
                  <m:rPr/>
                  <w:rPr>
                    <w:rFonts w:ascii="Cambria Math"/>
                  </w:rPr>
                  <m:t>−</m:t>
                </m:r>
                <m:r>
                  <m:rPr>
                    <m:sty m:val="p"/>
                  </m:rPr>
                  <w:rPr>
                    <w:rFonts w:hint="eastAsia" w:ascii="Cambria Math"/>
                  </w:rPr>
                  <m:t>企业</m:t>
                </m:r>
                <m:ctrlPr>
                  <w:rPr>
                    <w:rFonts w:ascii="Cambria Math" w:hAnsi="Cambria Math"/>
                    <w:i/>
                  </w:rPr>
                </m:ctrlPr>
              </m:sub>
            </m:sSub>
            <m:ctrlPr>
              <w:rPr>
                <w:rFonts w:ascii="Cambria Math" w:hAnsi="Cambria Math"/>
                <w:i/>
              </w:rPr>
            </m:ctrlPr>
          </m:e>
        </m:nary>
      </m:oMath>
      <w:bookmarkEnd w:id="65"/>
      <w:r>
        <w:rPr>
          <w:rFonts w:ascii="微软雅黑" w:hAnsi="微软雅黑" w:eastAsia="微软雅黑"/>
        </w:rPr>
        <w:tab/>
      </w:r>
      <w:r>
        <w:t>(</w:t>
      </w:r>
      <w:r>
        <w:fldChar w:fldCharType="begin"/>
      </w:r>
      <w:r>
        <w:instrText xml:space="preserve"> AUTONUM </w:instrText>
      </w:r>
      <w:r>
        <w:fldChar w:fldCharType="end"/>
      </w:r>
      <w:r>
        <w:t>)</w:t>
      </w:r>
    </w:p>
    <w:p w14:paraId="4DC3C010">
      <w:pPr>
        <w:pStyle w:val="55"/>
        <w:ind w:firstLine="420"/>
      </w:pPr>
      <w:r>
        <w:rPr>
          <w:rFonts w:hint="eastAsia"/>
        </w:rPr>
        <w:t>式中：</w:t>
      </w:r>
    </w:p>
    <w:p w14:paraId="69ABF622">
      <w:pPr>
        <w:snapToGrid w:val="0"/>
        <w:spacing w:line="240" w:lineRule="auto"/>
        <w:ind w:firstLine="420" w:firstLineChars="200"/>
        <w:rPr>
          <w:rFonts w:ascii="Times New Roman" w:hAnsi="Times New Roman"/>
        </w:rPr>
      </w:pPr>
      <m:oMath>
        <m:sSub>
          <w:bookmarkStart w:id="66" w:name="_Hlk234914563"/>
          <m:sSubPr>
            <m:ctrlPr>
              <w:rPr>
                <w:rFonts w:ascii="Cambria Math" w:hAnsi="Cambria Math"/>
                <w:i/>
              </w:rPr>
            </m:ctrlPr>
          </m:sSubPr>
          <m:e>
            <m:r>
              <m:rPr/>
              <w:rPr>
                <w:rFonts w:ascii="Cambria Math"/>
              </w:rPr>
              <m:t>Q</m:t>
            </m:r>
            <m:ctrlPr>
              <w:rPr>
                <w:rFonts w:ascii="Cambria Math" w:hAnsi="Cambria Math"/>
                <w:i/>
              </w:rPr>
            </m:ctrlPr>
          </m:e>
          <m:sub>
            <m:r>
              <m:rPr/>
              <w:rPr>
                <w:rFonts w:hint="eastAsia" w:ascii="Cambria Math"/>
              </w:rPr>
              <m:t>wwpt</m:t>
            </m:r>
            <m:r>
              <m:rPr/>
              <w:rPr>
                <w:rFonts w:ascii="Cambria Math"/>
              </w:rPr>
              <m:t>−</m:t>
            </m:r>
            <m:r>
              <m:rPr>
                <m:sty m:val="p"/>
              </m:rPr>
              <w:rPr>
                <w:rFonts w:ascii="Cambria Math"/>
              </w:rPr>
              <m:t>协商</m:t>
            </m:r>
            <m:ctrlPr>
              <w:rPr>
                <w:rFonts w:ascii="Cambria Math" w:hAnsi="Cambria Math"/>
                <w:i/>
              </w:rPr>
            </m:ctrlPr>
          </m:sub>
        </m:sSub>
      </m:oMath>
      <w:r>
        <w:rPr>
          <w:rFonts w:hint="eastAsia" w:ascii="Times New Roman" w:hAnsi="Times New Roman"/>
        </w:rPr>
        <w:t>——废水碳源综合利用纳管后</w:t>
      </w:r>
      <w:r>
        <w:rPr>
          <w:rFonts w:hint="eastAsia"/>
          <w:kern w:val="44"/>
        </w:rPr>
        <w:t>污水集中处理设施每日进水量，</w:t>
      </w:r>
      <w:r>
        <w:rPr>
          <w:rFonts w:hint="eastAsia" w:ascii="宋体" w:hAnsi="宋体"/>
          <w:kern w:val="44"/>
        </w:rPr>
        <w:t>m</w:t>
      </w:r>
      <w:r>
        <w:rPr>
          <w:rFonts w:hint="eastAsia" w:ascii="宋体" w:hAnsi="宋体"/>
          <w:kern w:val="44"/>
          <w:vertAlign w:val="superscript"/>
        </w:rPr>
        <w:t>3</w:t>
      </w:r>
      <w:r>
        <w:rPr>
          <w:rFonts w:ascii="宋体" w:hAnsi="宋体"/>
        </w:rPr>
        <w:t>；</w:t>
      </w:r>
    </w:p>
    <w:p w14:paraId="050E6BC5">
      <w:pPr>
        <w:snapToGrid w:val="0"/>
        <w:spacing w:line="240" w:lineRule="auto"/>
        <w:ind w:firstLine="420" w:firstLineChars="200"/>
        <w:rPr>
          <w:kern w:val="44"/>
        </w:rPr>
      </w:pPr>
      <m:oMath>
        <m:sSub>
          <m:sSubPr>
            <m:ctrlPr>
              <w:rPr>
                <w:rFonts w:ascii="Cambria Math" w:hAnsi="宋体"/>
                <w:i/>
              </w:rPr>
            </m:ctrlPr>
          </m:sSubPr>
          <m:e>
            <m:r>
              <m:rPr/>
              <w:rPr>
                <w:rFonts w:ascii="Cambria Math"/>
              </w:rPr>
              <m:t>Q</m:t>
            </m:r>
            <m:ctrlPr>
              <w:rPr>
                <w:rFonts w:ascii="Cambria Math" w:hAnsi="宋体"/>
                <w:i/>
              </w:rPr>
            </m:ctrlPr>
          </m:e>
          <m:sub>
            <m:r>
              <m:rPr/>
              <w:rPr>
                <w:rFonts w:hint="eastAsia" w:ascii="Cambria Math"/>
              </w:rPr>
              <m:t>wwpt</m:t>
            </m:r>
            <m:ctrlPr>
              <w:rPr>
                <w:rFonts w:ascii="Cambria Math" w:hAnsi="宋体"/>
                <w:i/>
              </w:rPr>
            </m:ctrlPr>
          </m:sub>
        </m:sSub>
      </m:oMath>
      <w:r>
        <w:rPr>
          <w:rFonts w:hint="eastAsia" w:ascii="Times New Roman" w:hAnsi="Times New Roman"/>
        </w:rPr>
        <w:t>——</w:t>
      </w:r>
      <w:r>
        <w:rPr>
          <w:rFonts w:hint="eastAsia"/>
          <w:kern w:val="44"/>
        </w:rPr>
        <w:t>污水集中处理设施现状每日进水量，</w:t>
      </w:r>
      <w:r>
        <w:rPr>
          <w:rFonts w:hint="eastAsia" w:ascii="宋体" w:hAnsi="宋体"/>
          <w:kern w:val="44"/>
        </w:rPr>
        <w:t>m</w:t>
      </w:r>
      <w:r>
        <w:rPr>
          <w:rFonts w:hint="eastAsia" w:ascii="宋体" w:hAnsi="宋体"/>
          <w:kern w:val="44"/>
          <w:vertAlign w:val="superscript"/>
        </w:rPr>
        <w:t>3</w:t>
      </w:r>
      <w:r>
        <w:rPr>
          <w:rFonts w:hint="eastAsia"/>
          <w:kern w:val="44"/>
        </w:rPr>
        <w:t>；</w:t>
      </w:r>
    </w:p>
    <w:p w14:paraId="154909E2">
      <w:pPr>
        <w:adjustRightInd/>
        <w:snapToGrid w:val="0"/>
        <w:spacing w:line="240" w:lineRule="auto"/>
        <w:ind w:firstLine="420" w:firstLineChars="200"/>
        <w:rPr>
          <w:rFonts w:hint="eastAsia" w:ascii="宋体" w:hAnsi="宋体"/>
        </w:rPr>
      </w:pPr>
      <m:oMath>
        <m:sSub>
          <m:sSubPr>
            <m:ctrlPr>
              <w:rPr>
                <w:rFonts w:ascii="Cambria Math" w:hAnsi="宋体"/>
                <w:i/>
              </w:rPr>
            </m:ctrlPr>
          </m:sSubPr>
          <m:e>
            <m:r>
              <m:rPr/>
              <w:rPr>
                <w:rFonts w:ascii="Cambria Math"/>
              </w:rPr>
              <m:t>Q</m:t>
            </m:r>
            <m:ctrlPr>
              <w:rPr>
                <w:rFonts w:ascii="Cambria Math" w:hAnsi="宋体"/>
                <w:i/>
              </w:rPr>
            </m:ctrlPr>
          </m:e>
          <m:sub>
            <m:r>
              <m:rPr/>
              <w:rPr>
                <w:rFonts w:hint="eastAsia" w:ascii="Cambria Math"/>
              </w:rPr>
              <m:t>i</m:t>
            </m:r>
            <m:r>
              <m:rPr/>
              <w:rPr>
                <w:rFonts w:ascii="Cambria Math"/>
              </w:rPr>
              <m:t>−</m:t>
            </m:r>
            <m:r>
              <m:rPr>
                <m:sty m:val="p"/>
              </m:rPr>
              <w:rPr>
                <w:rFonts w:hint="eastAsia" w:ascii="Cambria Math"/>
              </w:rPr>
              <m:t>企业</m:t>
            </m:r>
            <m:ctrlPr>
              <w:rPr>
                <w:rFonts w:ascii="Cambria Math" w:hAnsi="宋体"/>
                <w:i/>
              </w:rPr>
            </m:ctrlPr>
          </m:sub>
        </m:sSub>
      </m:oMath>
      <w:r>
        <w:rPr>
          <w:rFonts w:hint="eastAsia" w:ascii="Times New Roman" w:hAnsi="Times New Roman"/>
        </w:rPr>
        <w:t>——</w:t>
      </w:r>
      <w:r>
        <w:rPr>
          <w:rFonts w:ascii="宋体" w:hAnsi="宋体"/>
        </w:rPr>
        <w:t>第i个</w:t>
      </w:r>
      <w:r>
        <w:rPr>
          <w:rFonts w:hint="eastAsia" w:ascii="宋体" w:hAnsi="宋体"/>
        </w:rPr>
        <w:t>工业企业废</w:t>
      </w:r>
      <w:r>
        <w:rPr>
          <w:rFonts w:ascii="宋体" w:hAnsi="宋体"/>
        </w:rPr>
        <w:t>水流量</w:t>
      </w:r>
      <w:r>
        <w:rPr>
          <w:rFonts w:hint="eastAsia" w:ascii="宋体" w:hAnsi="宋体"/>
        </w:rPr>
        <w:t>取值</w:t>
      </w:r>
      <w:r>
        <w:rPr>
          <w:rFonts w:ascii="宋体" w:hAnsi="宋体"/>
        </w:rPr>
        <w:t>，m</w:t>
      </w:r>
      <w:r>
        <w:rPr>
          <w:rFonts w:ascii="宋体" w:hAnsi="宋体"/>
          <w:vertAlign w:val="superscript"/>
        </w:rPr>
        <w:t>3</w:t>
      </w:r>
      <w:r>
        <w:rPr>
          <w:rFonts w:ascii="宋体" w:hAnsi="宋体"/>
        </w:rPr>
        <w:t>/d</w:t>
      </w:r>
      <w:r>
        <w:rPr>
          <w:rFonts w:hint="eastAsia" w:ascii="宋体" w:hAnsi="宋体"/>
        </w:rPr>
        <w:t>，综合利用协商排放后不新增水量的此项取零；</w:t>
      </w:r>
    </w:p>
    <w:p w14:paraId="601A5283">
      <w:pPr>
        <w:adjustRightInd/>
        <w:snapToGrid w:val="0"/>
        <w:spacing w:line="240" w:lineRule="auto"/>
        <w:ind w:firstLine="420" w:firstLineChars="200"/>
        <w:rPr>
          <w:rFonts w:hint="eastAsia" w:ascii="宋体" w:hAnsi="宋体"/>
        </w:rPr>
      </w:pPr>
      <w:r>
        <w:rPr>
          <w:rFonts w:hint="eastAsia" w:ascii="宋体" w:hAnsi="宋体"/>
        </w:rPr>
        <w:t>m——涉及废水碳源综合利用的企业数量。</w:t>
      </w:r>
    </w:p>
    <w:bookmarkEnd w:id="66"/>
    <w:p w14:paraId="2E0CE81D">
      <w:pPr>
        <w:pStyle w:val="65"/>
        <w:spacing w:before="156" w:after="156"/>
      </w:pPr>
      <w:r>
        <w:rPr>
          <w:rFonts w:hint="eastAsia"/>
        </w:rPr>
        <w:t>进水水质影响评估</w:t>
      </w:r>
    </w:p>
    <w:p w14:paraId="40315F2D">
      <w:pPr>
        <w:pStyle w:val="56"/>
        <w:ind w:firstLine="420"/>
      </w:pPr>
      <w:r>
        <w:rPr>
          <w:rFonts w:hint="eastAsia"/>
        </w:rPr>
        <w:t>应调研污水集中处理设施设计进水水质、实际进水水质情况，宜结合年均值、月均值以及纳管企业生产旺季、雨季等特殊排放时间段数据评估。当实际进水水质大于或等于设计进水水质时，说明污水集中处理设施处理能力不足，不具备接纳新的工业企业废水的能力。</w:t>
      </w:r>
    </w:p>
    <w:p w14:paraId="411D157E">
      <w:pPr>
        <w:pStyle w:val="56"/>
        <w:ind w:firstLine="420"/>
      </w:pPr>
      <w:r>
        <w:rPr>
          <w:rFonts w:hint="eastAsia"/>
        </w:rPr>
        <w:t>当实际处理水量小于设计处理水量时，废水碳源综合利用对污水集中处理设施进水水质影响的确定按公式（2）计算</w:t>
      </w:r>
      <w:r>
        <w:t>：</w:t>
      </w:r>
    </w:p>
    <w:p w14:paraId="13CE5BF1">
      <w:pPr>
        <w:pStyle w:val="113"/>
        <w:rPr>
          <w:rFonts w:hint="eastAsia"/>
        </w:rPr>
      </w:pPr>
      <w:r>
        <w:tab/>
      </w:r>
      <m:oMath>
        <m:sSub>
          <w:bookmarkStart w:id="67" w:name="_Hlk234914589"/>
          <m:sSubPr>
            <m:ctrlPr>
              <w:rPr>
                <w:rFonts w:ascii="Cambria Math" w:hAnsi="Cambria Math"/>
                <w:i/>
              </w:rPr>
            </m:ctrlPr>
          </m:sSubPr>
          <m:e>
            <m:r>
              <m:rPr/>
              <w:rPr>
                <w:rFonts w:ascii="Cambria Math"/>
              </w:rPr>
              <m:t>C</m:t>
            </m:r>
            <m:ctrlPr>
              <w:rPr>
                <w:rFonts w:ascii="Cambria Math" w:hAnsi="Cambria Math"/>
                <w:i/>
              </w:rPr>
            </m:ctrlPr>
          </m:e>
          <m:sub>
            <m:r>
              <m:rPr/>
              <w:rPr>
                <w:rFonts w:hint="eastAsia" w:ascii="Cambria Math"/>
              </w:rPr>
              <m:t>wwpt</m:t>
            </m:r>
            <m:r>
              <m:rPr/>
              <w:rPr>
                <w:rFonts w:ascii="Cambria Math"/>
              </w:rPr>
              <m:t>−</m:t>
            </m:r>
            <m:r>
              <m:rPr>
                <m:sty m:val="p"/>
              </m:rPr>
              <w:rPr>
                <w:rFonts w:ascii="Cambria Math"/>
              </w:rPr>
              <m:t>进水</m:t>
            </m:r>
            <m:r>
              <m:rPr/>
              <w:rPr>
                <w:rFonts w:ascii="Cambria Math"/>
              </w:rPr>
              <m:t>j</m:t>
            </m:r>
            <m:r>
              <m:rPr>
                <m:sty m:val="p"/>
              </m:rPr>
              <w:rPr>
                <w:rFonts w:ascii="Cambria Math"/>
              </w:rPr>
              <m:t>，折算</m:t>
            </m:r>
            <m:ctrlPr>
              <w:rPr>
                <w:rFonts w:ascii="Cambria Math" w:hAnsi="Cambria Math"/>
                <w:i/>
              </w:rPr>
            </m:ctrlPr>
          </m:sub>
        </m:sSub>
        <m:r>
          <m:rPr/>
          <w:rPr>
            <w:rFonts w:ascii="Cambria Math"/>
          </w:rPr>
          <m:t>=</m:t>
        </m:r>
        <m:f>
          <m:fPr>
            <m:ctrlPr>
              <w:rPr>
                <w:rFonts w:ascii="Cambria Math" w:hAnsi="Cambria Math"/>
                <w:i/>
              </w:rPr>
            </m:ctrlPr>
          </m:fPr>
          <m:num>
            <m:sSub>
              <m:sSubPr>
                <m:ctrlPr>
                  <w:rPr>
                    <w:rFonts w:ascii="Cambria Math" w:hAnsi="Cambria Math"/>
                    <w:i/>
                  </w:rPr>
                </m:ctrlPr>
              </m:sSubPr>
              <m:e>
                <m:r>
                  <m:rPr/>
                  <w:rPr>
                    <w:rFonts w:ascii="Cambria Math"/>
                  </w:rPr>
                  <m:t>Q</m:t>
                </m:r>
                <m:ctrlPr>
                  <w:rPr>
                    <w:rFonts w:ascii="Cambria Math" w:hAnsi="Cambria Math"/>
                    <w:i/>
                  </w:rPr>
                </m:ctrlPr>
              </m:e>
              <m:sub>
                <m:r>
                  <m:rPr/>
                  <w:rPr>
                    <w:rFonts w:hint="eastAsia" w:ascii="Cambria Math"/>
                  </w:rPr>
                  <m:t>wwpt</m:t>
                </m:r>
                <m:ctrlPr>
                  <w:rPr>
                    <w:rFonts w:ascii="Cambria Math" w:hAnsi="Cambria Math"/>
                    <w:i/>
                  </w:rPr>
                </m:ctrlPr>
              </m:sub>
            </m:sSub>
            <m:r>
              <m:rPr/>
              <w:rPr>
                <w:rFonts w:ascii="Cambria Math"/>
              </w:rPr>
              <m:t>×</m:t>
            </m:r>
            <m:sSub>
              <m:sSubPr>
                <m:ctrlPr>
                  <w:rPr>
                    <w:rFonts w:ascii="Cambria Math" w:hAnsi="Cambria Math"/>
                    <w:i/>
                  </w:rPr>
                </m:ctrlPr>
              </m:sSubPr>
              <m:e>
                <m:r>
                  <m:rPr/>
                  <w:rPr>
                    <w:rFonts w:ascii="Cambria Math"/>
                  </w:rPr>
                  <m:t>C</m:t>
                </m:r>
                <m:ctrlPr>
                  <w:rPr>
                    <w:rFonts w:ascii="Cambria Math" w:hAnsi="Cambria Math"/>
                    <w:i/>
                  </w:rPr>
                </m:ctrlPr>
              </m:e>
              <m:sub>
                <m:r>
                  <m:rPr/>
                  <w:rPr>
                    <w:rFonts w:hint="eastAsia" w:ascii="Cambria Math"/>
                  </w:rPr>
                  <m:t>wwpt</m:t>
                </m:r>
                <m:r>
                  <m:rPr/>
                  <w:rPr>
                    <w:rFonts w:ascii="Cambria Math"/>
                  </w:rPr>
                  <m:t>−</m:t>
                </m:r>
                <m:r>
                  <m:rPr>
                    <m:sty m:val="p"/>
                  </m:rPr>
                  <w:rPr>
                    <w:rFonts w:ascii="Cambria Math"/>
                  </w:rPr>
                  <m:t>进水</m:t>
                </m:r>
                <m:r>
                  <m:rPr/>
                  <w:rPr>
                    <w:rFonts w:ascii="Cambria Math"/>
                  </w:rPr>
                  <m:t>j</m:t>
                </m:r>
                <m:r>
                  <m:rPr>
                    <m:sty m:val="p"/>
                  </m:rPr>
                  <w:rPr>
                    <w:rFonts w:ascii="Cambria Math"/>
                  </w:rPr>
                  <m:t>，实际</m:t>
                </m:r>
                <m:ctrlPr>
                  <w:rPr>
                    <w:rFonts w:ascii="Cambria Math" w:hAnsi="Cambria Math"/>
                    <w:i/>
                  </w:rPr>
                </m:ctrlPr>
              </m:sub>
            </m:sSub>
            <m:r>
              <m:rPr/>
              <w:rPr>
                <w:rFonts w:ascii="Cambria Math"/>
              </w:rPr>
              <m:t>+</m:t>
            </m:r>
            <m:nary>
              <m:naryPr>
                <m:chr m:val="∑"/>
                <m:limLoc m:val="undOvr"/>
                <m:ctrlPr>
                  <w:rPr>
                    <w:rFonts w:ascii="Cambria Math" w:hAnsi="Cambria Math"/>
                    <w:i/>
                  </w:rPr>
                </m:ctrlPr>
              </m:naryPr>
              <m:sub>
                <m:r>
                  <m:rPr/>
                  <w:rPr>
                    <w:rFonts w:ascii="Cambria Math"/>
                  </w:rPr>
                  <m:t>i=1</m:t>
                </m:r>
                <m:ctrlPr>
                  <w:rPr>
                    <w:rFonts w:ascii="Cambria Math" w:hAnsi="Cambria Math"/>
                    <w:i/>
                  </w:rPr>
                </m:ctrlPr>
              </m:sub>
              <m:sup>
                <m:r>
                  <m:rPr/>
                  <w:rPr>
                    <w:rFonts w:ascii="Cambria Math"/>
                  </w:rPr>
                  <m:t>m</m:t>
                </m:r>
                <m:ctrlPr>
                  <w:rPr>
                    <w:rFonts w:ascii="Cambria Math" w:hAnsi="Cambria Math"/>
                    <w:i/>
                  </w:rPr>
                </m:ctrlPr>
              </m:sup>
              <m:e>
                <m:d>
                  <m:dPr>
                    <m:begChr m:val="["/>
                    <m:endChr m:val="]"/>
                    <m:ctrlPr>
                      <w:rPr>
                        <w:rFonts w:ascii="Cambria Math" w:hAnsi="Cambria Math"/>
                        <w:i/>
                      </w:rPr>
                    </m:ctrlPr>
                  </m:dPr>
                  <m:e>
                    <m:sSub>
                      <m:sSubPr>
                        <m:ctrlPr>
                          <w:rPr>
                            <w:rFonts w:ascii="Cambria Math" w:hAnsi="Cambria Math"/>
                            <w:i/>
                          </w:rPr>
                        </m:ctrlPr>
                      </m:sSubPr>
                      <m:e>
                        <m:r>
                          <m:rPr/>
                          <w:rPr>
                            <w:rFonts w:ascii="Cambria Math"/>
                          </w:rPr>
                          <m:t>Q</m:t>
                        </m:r>
                        <m:ctrlPr>
                          <w:rPr>
                            <w:rFonts w:ascii="Cambria Math" w:hAnsi="Cambria Math"/>
                            <w:i/>
                          </w:rPr>
                        </m:ctrlPr>
                      </m:e>
                      <m:sub>
                        <m:r>
                          <m:rPr/>
                          <w:rPr>
                            <w:rFonts w:hint="eastAsia" w:ascii="Cambria Math"/>
                          </w:rPr>
                          <m:t>i</m:t>
                        </m:r>
                        <m:r>
                          <m:rPr/>
                          <w:rPr>
                            <w:rFonts w:ascii="Cambria Math"/>
                          </w:rPr>
                          <m:t>−</m:t>
                        </m:r>
                        <m:r>
                          <m:rPr>
                            <m:sty m:val="p"/>
                          </m:rPr>
                          <w:rPr>
                            <w:rFonts w:hint="eastAsia" w:ascii="Cambria Math"/>
                          </w:rPr>
                          <m:t>企业</m:t>
                        </m:r>
                        <m:ctrlPr>
                          <w:rPr>
                            <w:rFonts w:ascii="Cambria Math" w:hAnsi="Cambria Math"/>
                            <w:i/>
                          </w:rPr>
                        </m:ctrlPr>
                      </m:sub>
                    </m:sSub>
                    <m:r>
                      <m:rPr/>
                      <w:rPr>
                        <w:rFonts w:ascii="Cambria Math"/>
                      </w:rPr>
                      <m:t>×（</m:t>
                    </m:r>
                    <m:sSub>
                      <m:sSubPr>
                        <m:ctrlPr>
                          <w:rPr>
                            <w:rFonts w:ascii="Cambria Math" w:hAnsi="Cambria Math"/>
                            <w:i/>
                          </w:rPr>
                        </m:ctrlPr>
                      </m:sSubPr>
                      <m:e>
                        <m:r>
                          <m:rPr/>
                          <w:rPr>
                            <w:rFonts w:ascii="Cambria Math"/>
                          </w:rPr>
                          <m:t>C</m:t>
                        </m:r>
                        <m:ctrlPr>
                          <w:rPr>
                            <w:rFonts w:ascii="Cambria Math" w:hAnsi="Cambria Math"/>
                            <w:i/>
                          </w:rPr>
                        </m:ctrlPr>
                      </m:e>
                      <m:sub>
                        <m:r>
                          <m:rPr/>
                          <w:rPr>
                            <w:rFonts w:hint="eastAsia" w:ascii="Cambria Math"/>
                          </w:rPr>
                          <m:t>i</m:t>
                        </m:r>
                        <m:r>
                          <m:rPr/>
                          <w:rPr>
                            <w:rFonts w:ascii="Cambria Math"/>
                          </w:rPr>
                          <m:t>−</m:t>
                        </m:r>
                        <m:r>
                          <m:rPr>
                            <m:sty m:val="p"/>
                          </m:rPr>
                          <w:rPr>
                            <w:rFonts w:hint="eastAsia" w:ascii="Cambria Math"/>
                          </w:rPr>
                          <m:t>企业</m:t>
                        </m:r>
                        <m:r>
                          <m:rPr>
                            <m:sty m:val="p"/>
                          </m:rPr>
                          <w:rPr>
                            <w:rFonts w:ascii="Cambria Math"/>
                          </w:rPr>
                          <m:t>,</m:t>
                        </m:r>
                        <m:r>
                          <m:rPr/>
                          <w:rPr>
                            <w:rFonts w:ascii="Cambria Math"/>
                          </w:rPr>
                          <m:t>j,</m:t>
                        </m:r>
                        <m:r>
                          <m:rPr>
                            <m:sty m:val="p"/>
                          </m:rPr>
                          <w:rPr>
                            <w:rFonts w:hint="eastAsia" w:ascii="Cambria Math"/>
                          </w:rPr>
                          <m:t>协商</m:t>
                        </m:r>
                        <m:ctrlPr>
                          <w:rPr>
                            <w:rFonts w:ascii="Cambria Math" w:hAnsi="Cambria Math"/>
                            <w:i/>
                          </w:rPr>
                        </m:ctrlPr>
                      </m:sub>
                    </m:sSub>
                    <m:r>
                      <m:rPr/>
                      <w:rPr>
                        <w:rFonts w:hint="eastAsia" w:ascii="微软雅黑" w:hAnsi="微软雅黑" w:eastAsia="微软雅黑" w:cs="微软雅黑"/>
                      </w:rPr>
                      <m:t>−</m:t>
                    </m:r>
                    <m:sSub>
                      <m:sSubPr>
                        <m:ctrlPr>
                          <w:rPr>
                            <w:rFonts w:ascii="Cambria Math" w:hAnsi="Cambria Math"/>
                            <w:i/>
                          </w:rPr>
                        </m:ctrlPr>
                      </m:sSubPr>
                      <m:e>
                        <m:r>
                          <m:rPr/>
                          <w:rPr>
                            <w:rFonts w:ascii="Cambria Math"/>
                          </w:rPr>
                          <m:t>C</m:t>
                        </m:r>
                        <m:ctrlPr>
                          <w:rPr>
                            <w:rFonts w:ascii="Cambria Math" w:hAnsi="Cambria Math"/>
                            <w:i/>
                          </w:rPr>
                        </m:ctrlPr>
                      </m:e>
                      <m:sub>
                        <m:r>
                          <m:rPr/>
                          <w:rPr>
                            <w:rFonts w:hint="eastAsia" w:ascii="Cambria Math"/>
                          </w:rPr>
                          <m:t>i</m:t>
                        </m:r>
                        <m:r>
                          <m:rPr/>
                          <w:rPr>
                            <w:rFonts w:ascii="Cambria Math"/>
                          </w:rPr>
                          <m:t>−</m:t>
                        </m:r>
                        <m:r>
                          <m:rPr>
                            <m:sty m:val="p"/>
                          </m:rPr>
                          <w:rPr>
                            <w:rFonts w:hint="eastAsia" w:ascii="Cambria Math"/>
                          </w:rPr>
                          <m:t>企业</m:t>
                        </m:r>
                        <m:r>
                          <m:rPr>
                            <m:sty m:val="p"/>
                          </m:rPr>
                          <w:rPr>
                            <w:rFonts w:ascii="Cambria Math"/>
                          </w:rPr>
                          <m:t>,</m:t>
                        </m:r>
                        <m:r>
                          <m:rPr/>
                          <w:rPr>
                            <w:rFonts w:ascii="Cambria Math"/>
                          </w:rPr>
                          <m:t>j,</m:t>
                        </m:r>
                        <m:r>
                          <m:rPr>
                            <m:sty m:val="p"/>
                          </m:rPr>
                          <w:rPr>
                            <w:rFonts w:hint="eastAsia" w:ascii="Cambria Math"/>
                          </w:rPr>
                          <m:t>实际</m:t>
                        </m:r>
                        <m:ctrlPr>
                          <w:rPr>
                            <w:rFonts w:ascii="Cambria Math" w:hAnsi="Cambria Math"/>
                            <w:i/>
                          </w:rPr>
                        </m:ctrlPr>
                      </m:sub>
                    </m:sSub>
                    <m:r>
                      <m:rPr/>
                      <w:rPr>
                        <w:rFonts w:ascii="Cambria Math"/>
                      </w:rPr>
                      <m:t>）</m:t>
                    </m:r>
                    <m:ctrlPr>
                      <w:rPr>
                        <w:rFonts w:ascii="Cambria Math" w:hAnsi="Cambria Math"/>
                        <w:i/>
                      </w:rPr>
                    </m:ctrlPr>
                  </m:e>
                </m:d>
                <m:ctrlPr>
                  <w:rPr>
                    <w:rFonts w:ascii="Cambria Math" w:hAnsi="Cambria Math"/>
                    <w:i/>
                  </w:rPr>
                </m:ctrlPr>
              </m:e>
            </m:nary>
            <m:ctrlPr>
              <w:rPr>
                <w:rFonts w:ascii="Cambria Math" w:hAnsi="Cambria Math"/>
                <w:i/>
              </w:rPr>
            </m:ctrlPr>
          </m:num>
          <m:den>
            <m:sSub>
              <m:sSubPr>
                <m:ctrlPr>
                  <w:rPr>
                    <w:rFonts w:ascii="Cambria Math" w:hAnsi="Cambria Math"/>
                    <w:i/>
                  </w:rPr>
                </m:ctrlPr>
              </m:sSubPr>
              <m:e>
                <m:r>
                  <m:rPr/>
                  <w:rPr>
                    <w:rFonts w:ascii="Cambria Math"/>
                  </w:rPr>
                  <m:t>Q</m:t>
                </m:r>
                <m:ctrlPr>
                  <w:rPr>
                    <w:rFonts w:ascii="Cambria Math" w:hAnsi="Cambria Math"/>
                    <w:i/>
                  </w:rPr>
                </m:ctrlPr>
              </m:e>
              <m:sub>
                <m:r>
                  <m:rPr/>
                  <w:rPr>
                    <w:rFonts w:hint="eastAsia" w:ascii="Cambria Math"/>
                  </w:rPr>
                  <m:t>wwpt</m:t>
                </m:r>
                <m:ctrlPr>
                  <w:rPr>
                    <w:rFonts w:ascii="Cambria Math" w:hAnsi="Cambria Math"/>
                    <w:i/>
                  </w:rPr>
                </m:ctrlPr>
              </m:sub>
            </m:sSub>
            <m:r>
              <m:rPr/>
              <w:rPr>
                <w:rFonts w:ascii="Cambria Math"/>
              </w:rPr>
              <m:t>+</m:t>
            </m:r>
            <m:nary>
              <m:naryPr>
                <m:chr m:val="∑"/>
                <m:ctrlPr>
                  <w:rPr>
                    <w:rFonts w:ascii="Cambria Math" w:hAnsi="Cambria Math"/>
                    <w:i/>
                  </w:rPr>
                </m:ctrlPr>
              </m:naryPr>
              <m:sub>
                <m:r>
                  <m:rPr/>
                  <w:rPr>
                    <w:rFonts w:ascii="Cambria Math"/>
                  </w:rPr>
                  <m:t>i=1</m:t>
                </m:r>
                <m:ctrlPr>
                  <w:rPr>
                    <w:rFonts w:ascii="Cambria Math" w:hAnsi="Cambria Math"/>
                    <w:i/>
                  </w:rPr>
                </m:ctrlPr>
              </m:sub>
              <m:sup>
                <m:r>
                  <m:rPr/>
                  <w:rPr>
                    <w:rFonts w:ascii="Cambria Math"/>
                  </w:rPr>
                  <m:t>m</m:t>
                </m:r>
                <m:ctrlPr>
                  <w:rPr>
                    <w:rFonts w:ascii="Cambria Math" w:hAnsi="Cambria Math"/>
                    <w:i/>
                  </w:rPr>
                </m:ctrlPr>
              </m:sup>
              <m:e>
                <m:sSub>
                  <m:sSubPr>
                    <m:ctrlPr>
                      <w:rPr>
                        <w:rFonts w:ascii="Cambria Math" w:hAnsi="Cambria Math"/>
                        <w:i/>
                      </w:rPr>
                    </m:ctrlPr>
                  </m:sSubPr>
                  <m:e>
                    <m:r>
                      <m:rPr/>
                      <w:rPr>
                        <w:rFonts w:ascii="Cambria Math"/>
                      </w:rPr>
                      <m:t>Q</m:t>
                    </m:r>
                    <m:ctrlPr>
                      <w:rPr>
                        <w:rFonts w:ascii="Cambria Math" w:hAnsi="Cambria Math"/>
                        <w:i/>
                      </w:rPr>
                    </m:ctrlPr>
                  </m:e>
                  <m:sub>
                    <m:r>
                      <m:rPr/>
                      <w:rPr>
                        <w:rFonts w:hint="eastAsia" w:ascii="Cambria Math"/>
                      </w:rPr>
                      <m:t>i</m:t>
                    </m:r>
                    <m:r>
                      <m:rPr/>
                      <w:rPr>
                        <w:rFonts w:ascii="Cambria Math"/>
                      </w:rPr>
                      <m:t>−</m:t>
                    </m:r>
                    <m:r>
                      <m:rPr>
                        <m:sty m:val="p"/>
                      </m:rPr>
                      <w:rPr>
                        <w:rFonts w:hint="eastAsia" w:ascii="Cambria Math"/>
                      </w:rPr>
                      <m:t>企业</m:t>
                    </m:r>
                    <m:ctrlPr>
                      <w:rPr>
                        <w:rFonts w:ascii="Cambria Math" w:hAnsi="Cambria Math"/>
                        <w:i/>
                      </w:rPr>
                    </m:ctrlPr>
                  </m:sub>
                </m:sSub>
                <m:ctrlPr>
                  <w:rPr>
                    <w:rFonts w:ascii="Cambria Math" w:hAnsi="Cambria Math"/>
                    <w:i/>
                  </w:rPr>
                </m:ctrlPr>
              </m:e>
            </m:nary>
            <m:ctrlPr>
              <w:rPr>
                <w:rFonts w:hint="eastAsia" w:ascii="Cambria Math" w:hAnsi="Cambria Math"/>
                <w:i/>
              </w:rPr>
            </m:ctrlPr>
          </m:den>
        </m:f>
      </m:oMath>
      <w:bookmarkEnd w:id="67"/>
      <w:r>
        <w:rPr>
          <w:rFonts w:ascii="微软雅黑" w:hAnsi="微软雅黑" w:eastAsia="微软雅黑"/>
        </w:rPr>
        <w:tab/>
      </w:r>
      <w:r>
        <w:t>(</w:t>
      </w:r>
      <w:r>
        <w:rPr>
          <w:rFonts w:hint="eastAsia"/>
        </w:rPr>
        <w:t>2</w:t>
      </w:r>
      <w:r>
        <w:t>)</w:t>
      </w:r>
    </w:p>
    <w:p w14:paraId="0547E0D8">
      <w:pPr>
        <w:pStyle w:val="55"/>
        <w:ind w:firstLine="420"/>
      </w:pPr>
      <w:r>
        <w:rPr>
          <w:rFonts w:hint="eastAsia"/>
        </w:rPr>
        <w:t>式中：</w:t>
      </w:r>
    </w:p>
    <w:p w14:paraId="3189838E">
      <w:pPr>
        <w:adjustRightInd/>
        <w:snapToGrid w:val="0"/>
        <w:spacing w:line="240" w:lineRule="auto"/>
        <w:ind w:firstLine="420" w:firstLineChars="200"/>
        <w:rPr>
          <w:rFonts w:hint="eastAsia" w:ascii="宋体" w:hAnsi="宋体"/>
        </w:rPr>
      </w:pPr>
      <m:oMath>
        <m:sSub>
          <w:bookmarkStart w:id="68" w:name="_Hlk234914601"/>
          <m:sSubPr>
            <m:ctrlPr>
              <w:rPr>
                <w:rFonts w:ascii="Cambria Math" w:hAnsi="Cambria Math"/>
                <w:i/>
              </w:rPr>
            </m:ctrlPr>
          </m:sSubPr>
          <m:e>
            <m:r>
              <m:rPr/>
              <w:rPr>
                <w:rFonts w:ascii="Cambria Math"/>
              </w:rPr>
              <m:t>C</m:t>
            </m:r>
            <m:ctrlPr>
              <w:rPr>
                <w:rFonts w:ascii="Cambria Math" w:hAnsi="Cambria Math"/>
                <w:i/>
              </w:rPr>
            </m:ctrlPr>
          </m:e>
          <m:sub>
            <m:r>
              <m:rPr/>
              <w:rPr>
                <w:rFonts w:hint="eastAsia" w:ascii="Cambria Math"/>
              </w:rPr>
              <m:t>wwpt</m:t>
            </m:r>
            <m:r>
              <m:rPr/>
              <w:rPr>
                <w:rFonts w:ascii="Cambria Math"/>
              </w:rPr>
              <m:t>−</m:t>
            </m:r>
            <m:r>
              <m:rPr>
                <m:sty m:val="p"/>
              </m:rPr>
              <w:rPr>
                <w:rFonts w:ascii="Cambria Math"/>
              </w:rPr>
              <m:t>进水</m:t>
            </m:r>
            <m:r>
              <m:rPr/>
              <w:rPr>
                <w:rFonts w:ascii="Cambria Math"/>
              </w:rPr>
              <m:t>j</m:t>
            </m:r>
            <m:r>
              <m:rPr>
                <m:sty m:val="p"/>
              </m:rPr>
              <w:rPr>
                <w:rFonts w:ascii="Cambria Math"/>
              </w:rPr>
              <m:t>，折算</m:t>
            </m:r>
            <m:ctrlPr>
              <w:rPr>
                <w:rFonts w:ascii="Cambria Math" w:hAnsi="Cambria Math"/>
                <w:i/>
              </w:rPr>
            </m:ctrlPr>
          </m:sub>
        </m:sSub>
      </m:oMath>
      <w:r>
        <w:rPr>
          <w:rFonts w:hint="eastAsia" w:ascii="宋体" w:hAnsi="宋体"/>
        </w:rPr>
        <w:t>——</w:t>
      </w:r>
      <w:r>
        <w:rPr>
          <w:rFonts w:ascii="宋体" w:hAnsi="宋体"/>
        </w:rPr>
        <w:t>折</w:t>
      </w:r>
      <w:r>
        <w:rPr>
          <w:rFonts w:hint="eastAsia" w:ascii="宋体" w:hAnsi="宋体"/>
        </w:rPr>
        <w:t>废水碳源综合利用后</w:t>
      </w:r>
      <w:r>
        <w:rPr>
          <w:rFonts w:ascii="宋体" w:hAnsi="宋体"/>
        </w:rPr>
        <w:t>第j项水污染物的</w:t>
      </w:r>
      <w:r>
        <w:rPr>
          <w:rFonts w:hint="eastAsia" w:ascii="宋体" w:hAnsi="宋体"/>
        </w:rPr>
        <w:t>进水</w:t>
      </w:r>
      <w:r>
        <w:rPr>
          <w:rFonts w:ascii="宋体" w:hAnsi="宋体"/>
        </w:rPr>
        <w:t>浓度，mg/L；</w:t>
      </w:r>
    </w:p>
    <w:p w14:paraId="2C0FE230">
      <w:pPr>
        <w:snapToGrid w:val="0"/>
        <w:spacing w:line="240" w:lineRule="auto"/>
        <w:ind w:firstLine="420" w:firstLineChars="200"/>
        <w:rPr>
          <w:rFonts w:hint="eastAsia" w:ascii="宋体" w:hAnsi="宋体"/>
        </w:rPr>
      </w:pPr>
      <m:oMath>
        <m:sSub>
          <m:sSubPr>
            <m:ctrlPr>
              <w:rPr>
                <w:rFonts w:ascii="Cambria Math" w:hAnsi="Cambria Math"/>
                <w:i/>
              </w:rPr>
            </m:ctrlPr>
          </m:sSubPr>
          <m:e>
            <m:r>
              <m:rPr/>
              <w:rPr>
                <w:rFonts w:ascii="Cambria Math"/>
              </w:rPr>
              <m:t>C</m:t>
            </m:r>
            <m:ctrlPr>
              <w:rPr>
                <w:rFonts w:ascii="Cambria Math" w:hAnsi="Cambria Math"/>
                <w:i/>
              </w:rPr>
            </m:ctrlPr>
          </m:e>
          <m:sub>
            <m:r>
              <m:rPr/>
              <w:rPr>
                <w:rFonts w:hint="eastAsia" w:ascii="Cambria Math"/>
              </w:rPr>
              <m:t>wwpt</m:t>
            </m:r>
            <m:r>
              <m:rPr/>
              <w:rPr>
                <w:rFonts w:ascii="Cambria Math"/>
              </w:rPr>
              <m:t>−</m:t>
            </m:r>
            <m:r>
              <m:rPr>
                <m:sty m:val="p"/>
              </m:rPr>
              <w:rPr>
                <w:rFonts w:ascii="Cambria Math"/>
              </w:rPr>
              <m:t>进水</m:t>
            </m:r>
            <m:r>
              <m:rPr/>
              <w:rPr>
                <w:rFonts w:ascii="Cambria Math"/>
              </w:rPr>
              <m:t>j</m:t>
            </m:r>
            <m:r>
              <m:rPr>
                <m:sty m:val="p"/>
              </m:rPr>
              <w:rPr>
                <w:rFonts w:ascii="Cambria Math"/>
              </w:rPr>
              <m:t>，实际</m:t>
            </m:r>
            <m:ctrlPr>
              <w:rPr>
                <w:rFonts w:ascii="Cambria Math" w:hAnsi="Cambria Math"/>
                <w:i/>
              </w:rPr>
            </m:ctrlPr>
          </m:sub>
        </m:sSub>
      </m:oMath>
      <w:r>
        <w:rPr>
          <w:rFonts w:hint="eastAsia" w:ascii="宋体" w:hAnsi="宋体"/>
        </w:rPr>
        <w:t>——</w:t>
      </w:r>
      <w:r>
        <w:rPr>
          <w:rFonts w:hint="eastAsia" w:ascii="宋体" w:hAnsi="宋体"/>
          <w:kern w:val="44"/>
        </w:rPr>
        <w:t>污水集中处理设施第j项水污染物进水浓度实际现状，mg/L；</w:t>
      </w:r>
    </w:p>
    <w:p w14:paraId="5B4866FB">
      <w:pPr>
        <w:snapToGrid w:val="0"/>
        <w:spacing w:line="240" w:lineRule="auto"/>
        <w:ind w:firstLine="420" w:firstLineChars="200"/>
        <w:rPr>
          <w:rFonts w:hint="eastAsia" w:ascii="宋体" w:hAnsi="宋体"/>
        </w:rPr>
      </w:pPr>
      <m:oMath>
        <m:sSub>
          <m:sSubPr>
            <m:ctrlPr>
              <w:rPr>
                <w:rFonts w:ascii="Cambria Math" w:hAnsi="宋体"/>
                <w:i/>
              </w:rPr>
            </m:ctrlPr>
          </m:sSubPr>
          <m:e>
            <m:r>
              <m:rPr/>
              <w:rPr>
                <w:rFonts w:ascii="Cambria Math"/>
              </w:rPr>
              <m:t>C</m:t>
            </m:r>
            <m:ctrlPr>
              <w:rPr>
                <w:rFonts w:ascii="Cambria Math" w:hAnsi="宋体"/>
                <w:i/>
              </w:rPr>
            </m:ctrlPr>
          </m:e>
          <m:sub>
            <m:r>
              <m:rPr/>
              <w:rPr>
                <w:rFonts w:hint="eastAsia" w:ascii="Cambria Math"/>
              </w:rPr>
              <m:t>i</m:t>
            </m:r>
            <m:r>
              <m:rPr/>
              <w:rPr>
                <w:rFonts w:ascii="Cambria Math"/>
              </w:rPr>
              <m:t>−</m:t>
            </m:r>
            <m:r>
              <m:rPr>
                <m:sty m:val="p"/>
              </m:rPr>
              <w:rPr>
                <w:rFonts w:hint="eastAsia" w:ascii="Cambria Math"/>
              </w:rPr>
              <m:t>企业</m:t>
            </m:r>
            <m:r>
              <m:rPr>
                <m:sty m:val="p"/>
              </m:rPr>
              <w:rPr>
                <w:rFonts w:ascii="Cambria Math"/>
              </w:rPr>
              <m:t>,</m:t>
            </m:r>
            <m:r>
              <m:rPr/>
              <w:rPr>
                <w:rFonts w:ascii="Cambria Math"/>
              </w:rPr>
              <m:t>j,</m:t>
            </m:r>
            <m:r>
              <m:rPr>
                <m:sty m:val="p"/>
              </m:rPr>
              <w:rPr>
                <w:rFonts w:hint="eastAsia" w:ascii="Cambria Math"/>
              </w:rPr>
              <m:t>协商</m:t>
            </m:r>
            <m:ctrlPr>
              <w:rPr>
                <w:rFonts w:ascii="Cambria Math" w:hAnsi="宋体"/>
                <w:i/>
              </w:rPr>
            </m:ctrlPr>
          </m:sub>
        </m:sSub>
      </m:oMath>
      <w:r>
        <w:rPr>
          <w:rFonts w:hint="eastAsia" w:ascii="宋体" w:hAnsi="宋体"/>
        </w:rPr>
        <w:t>——</w:t>
      </w:r>
      <w:r>
        <w:rPr>
          <w:rFonts w:ascii="宋体" w:hAnsi="宋体"/>
        </w:rPr>
        <w:t>第i个</w:t>
      </w:r>
      <w:r>
        <w:rPr>
          <w:rFonts w:hint="eastAsia" w:ascii="宋体" w:hAnsi="宋体"/>
        </w:rPr>
        <w:t>工业企业</w:t>
      </w:r>
      <w:r>
        <w:rPr>
          <w:rFonts w:hint="eastAsia" w:ascii="宋体" w:hAnsi="宋体"/>
          <w:kern w:val="44"/>
        </w:rPr>
        <w:t>第j项水污染物拟协商排放的进水浓度，mg/L，此项由双方协商确定，亦可利用公式</w:t>
      </w:r>
      <w:r>
        <w:rPr>
          <w:rFonts w:hint="eastAsia" w:ascii="宋体" w:hAnsi="宋体"/>
        </w:rPr>
        <w:t>（2）</w:t>
      </w:r>
      <w:r>
        <w:rPr>
          <w:rFonts w:hint="eastAsia" w:ascii="宋体" w:hAnsi="宋体"/>
          <w:kern w:val="44"/>
        </w:rPr>
        <w:t>逆向推算推导后再验证；</w:t>
      </w:r>
    </w:p>
    <w:p w14:paraId="03A39536">
      <w:pPr>
        <w:snapToGrid w:val="0"/>
        <w:spacing w:line="240" w:lineRule="auto"/>
        <w:ind w:firstLine="420" w:firstLineChars="200"/>
        <w:rPr>
          <w:rFonts w:hint="eastAsia" w:ascii="宋体" w:hAnsi="宋体"/>
          <w:kern w:val="44"/>
        </w:rPr>
      </w:pPr>
      <m:oMath>
        <m:sSub>
          <m:sSubPr>
            <m:ctrlPr>
              <w:rPr>
                <w:rFonts w:ascii="Cambria Math" w:hAnsi="宋体"/>
                <w:i/>
              </w:rPr>
            </m:ctrlPr>
          </m:sSubPr>
          <m:e>
            <m:r>
              <m:rPr/>
              <w:rPr>
                <w:rFonts w:ascii="Cambria Math"/>
              </w:rPr>
              <m:t>C</m:t>
            </m:r>
            <m:ctrlPr>
              <w:rPr>
                <w:rFonts w:ascii="Cambria Math" w:hAnsi="宋体"/>
                <w:i/>
              </w:rPr>
            </m:ctrlPr>
          </m:e>
          <m:sub>
            <m:r>
              <m:rPr/>
              <w:rPr>
                <w:rFonts w:hint="eastAsia" w:ascii="Cambria Math"/>
              </w:rPr>
              <m:t>i</m:t>
            </m:r>
            <m:r>
              <m:rPr/>
              <w:rPr>
                <w:rFonts w:ascii="Cambria Math"/>
              </w:rPr>
              <m:t>−</m:t>
            </m:r>
            <m:r>
              <m:rPr>
                <m:sty m:val="p"/>
              </m:rPr>
              <w:rPr>
                <w:rFonts w:hint="eastAsia" w:ascii="Cambria Math"/>
              </w:rPr>
              <m:t>企业</m:t>
            </m:r>
            <m:r>
              <m:rPr>
                <m:sty m:val="p"/>
              </m:rPr>
              <w:rPr>
                <w:rFonts w:ascii="Cambria Math"/>
              </w:rPr>
              <m:t>,</m:t>
            </m:r>
            <m:r>
              <m:rPr/>
              <w:rPr>
                <w:rFonts w:ascii="Cambria Math"/>
              </w:rPr>
              <m:t>j,</m:t>
            </m:r>
            <m:r>
              <m:rPr>
                <m:sty m:val="p"/>
              </m:rPr>
              <w:rPr>
                <w:rFonts w:hint="eastAsia" w:ascii="Cambria Math"/>
              </w:rPr>
              <m:t>实际</m:t>
            </m:r>
            <m:ctrlPr>
              <w:rPr>
                <w:rFonts w:ascii="Cambria Math" w:hAnsi="宋体"/>
                <w:i/>
              </w:rPr>
            </m:ctrlPr>
          </m:sub>
        </m:sSub>
      </m:oMath>
      <w:r>
        <w:rPr>
          <w:rFonts w:hint="eastAsia" w:ascii="宋体" w:hAnsi="宋体"/>
        </w:rPr>
        <w:t>——</w:t>
      </w:r>
      <w:r>
        <w:rPr>
          <w:rFonts w:ascii="宋体" w:hAnsi="宋体"/>
        </w:rPr>
        <w:t>第i个</w:t>
      </w:r>
      <w:r>
        <w:rPr>
          <w:rFonts w:hint="eastAsia" w:ascii="宋体" w:hAnsi="宋体"/>
        </w:rPr>
        <w:t>工业企业</w:t>
      </w:r>
      <w:r>
        <w:rPr>
          <w:rFonts w:hint="eastAsia" w:ascii="宋体" w:hAnsi="宋体"/>
          <w:kern w:val="44"/>
        </w:rPr>
        <w:t>第j项水污染物进水浓度实际现状，对于新纳管的排污单位此项取零，mg/L。</w:t>
      </w:r>
    </w:p>
    <w:p w14:paraId="697D7CDE">
      <w:pPr>
        <w:snapToGrid w:val="0"/>
        <w:spacing w:line="240" w:lineRule="auto"/>
        <w:ind w:firstLine="420" w:firstLineChars="200"/>
        <w:rPr>
          <w:rFonts w:hint="eastAsia" w:ascii="宋体" w:hAnsi="宋体"/>
          <w:kern w:val="44"/>
        </w:rPr>
      </w:pPr>
      <m:oMath>
        <m:sSub>
          <m:sSubPr>
            <m:ctrlPr>
              <w:rPr>
                <w:rFonts w:ascii="Cambria Math" w:hAnsi="宋体"/>
                <w:i/>
              </w:rPr>
            </m:ctrlPr>
          </m:sSubPr>
          <m:e>
            <m:r>
              <m:rPr/>
              <w:rPr>
                <w:rFonts w:ascii="Cambria Math"/>
              </w:rPr>
              <m:t>Q</m:t>
            </m:r>
            <m:ctrlPr>
              <w:rPr>
                <w:rFonts w:ascii="Cambria Math" w:hAnsi="宋体"/>
                <w:i/>
              </w:rPr>
            </m:ctrlPr>
          </m:e>
          <m:sub>
            <m:r>
              <m:rPr/>
              <w:rPr>
                <w:rFonts w:hint="eastAsia" w:ascii="Cambria Math"/>
              </w:rPr>
              <m:t>wwpt</m:t>
            </m:r>
            <m:ctrlPr>
              <w:rPr>
                <w:rFonts w:ascii="Cambria Math" w:hAnsi="宋体"/>
                <w:i/>
              </w:rPr>
            </m:ctrlPr>
          </m:sub>
        </m:sSub>
      </m:oMath>
      <w:r>
        <w:rPr>
          <w:rFonts w:hint="eastAsia" w:ascii="宋体" w:hAnsi="宋体"/>
        </w:rPr>
        <w:t>、</w:t>
      </w:r>
      <m:oMath>
        <m:sSub>
          <m:sSubPr>
            <m:ctrlPr>
              <w:rPr>
                <w:rFonts w:ascii="Cambria Math" w:hAnsi="宋体"/>
                <w:i/>
              </w:rPr>
            </m:ctrlPr>
          </m:sSubPr>
          <m:e>
            <m:r>
              <m:rPr/>
              <w:rPr>
                <w:rFonts w:ascii="Cambria Math"/>
              </w:rPr>
              <m:t>Q</m:t>
            </m:r>
            <m:ctrlPr>
              <w:rPr>
                <w:rFonts w:ascii="Cambria Math" w:hAnsi="宋体"/>
                <w:i/>
              </w:rPr>
            </m:ctrlPr>
          </m:e>
          <m:sub>
            <m:r>
              <m:rPr/>
              <w:rPr>
                <w:rFonts w:hint="eastAsia" w:ascii="Cambria Math"/>
              </w:rPr>
              <m:t>i</m:t>
            </m:r>
            <m:r>
              <m:rPr/>
              <w:rPr>
                <w:rFonts w:ascii="Cambria Math"/>
              </w:rPr>
              <m:t>−</m:t>
            </m:r>
            <m:r>
              <m:rPr>
                <m:sty m:val="p"/>
              </m:rPr>
              <w:rPr>
                <w:rFonts w:hint="eastAsia" w:ascii="Cambria Math"/>
              </w:rPr>
              <m:t>企业</m:t>
            </m:r>
            <m:ctrlPr>
              <w:rPr>
                <w:rFonts w:ascii="Cambria Math" w:hAnsi="宋体"/>
                <w:i/>
              </w:rPr>
            </m:ctrlPr>
          </m:sub>
        </m:sSub>
      </m:oMath>
      <w:r>
        <w:rPr>
          <w:rFonts w:hint="eastAsia" w:ascii="宋体" w:hAnsi="宋体"/>
          <w:kern w:val="44"/>
        </w:rPr>
        <w:t>见公式（1）</w:t>
      </w:r>
      <w:r>
        <w:rPr>
          <w:rFonts w:hint="eastAsia" w:ascii="宋体" w:hAnsi="宋体"/>
        </w:rPr>
        <w:t>。</w:t>
      </w:r>
      <w:bookmarkEnd w:id="68"/>
    </w:p>
    <w:p w14:paraId="359FECEB">
      <w:pPr>
        <w:pStyle w:val="65"/>
        <w:spacing w:before="156" w:after="156"/>
      </w:pPr>
      <w:r>
        <w:rPr>
          <w:rFonts w:hint="eastAsia"/>
        </w:rPr>
        <w:t>处理能力评估的判断</w:t>
      </w:r>
    </w:p>
    <w:p w14:paraId="5350C4F8">
      <w:pPr>
        <w:pStyle w:val="56"/>
        <w:ind w:firstLine="420"/>
        <w:rPr>
          <w:kern w:val="44"/>
          <w:position w:val="-10"/>
        </w:rPr>
      </w:pPr>
      <w:r>
        <w:rPr>
          <w:rFonts w:hint="eastAsia"/>
          <w:kern w:val="44"/>
          <w:position w:val="-10"/>
        </w:rPr>
        <w:t>污水集中处理设施处理能力同时满足以下条件时，具备接收废水作为碳源开展综合利用的能力：</w:t>
      </w:r>
    </w:p>
    <w:p w14:paraId="5CA13083">
      <w:pPr>
        <w:pStyle w:val="174"/>
        <w:numPr>
          <w:ilvl w:val="0"/>
          <w:numId w:val="33"/>
        </w:numPr>
        <w:snapToGrid w:val="0"/>
        <w:ind w:left="850" w:hanging="425"/>
      </w:pPr>
      <m:oMath>
        <m:sSub>
          <w:bookmarkStart w:id="69" w:name="_Hlk234914669"/>
          <m:sSubPr>
            <m:ctrlPr>
              <w:rPr>
                <w:rFonts w:ascii="Cambria Math" w:hAnsi="Cambria Math"/>
                <w:i/>
              </w:rPr>
            </m:ctrlPr>
          </m:sSubPr>
          <m:e>
            <m:r>
              <m:rPr/>
              <w:rPr>
                <w:rFonts w:ascii="Cambria Math"/>
              </w:rPr>
              <m:t>Q</m:t>
            </m:r>
            <m:ctrlPr>
              <w:rPr>
                <w:rFonts w:ascii="Cambria Math" w:hAnsi="Cambria Math"/>
                <w:i/>
              </w:rPr>
            </m:ctrlPr>
          </m:e>
          <m:sub>
            <m:r>
              <m:rPr/>
              <w:rPr>
                <w:rFonts w:hint="eastAsia" w:ascii="Cambria Math"/>
              </w:rPr>
              <m:t>wwpt</m:t>
            </m:r>
            <m:r>
              <m:rPr/>
              <w:rPr>
                <w:rFonts w:ascii="Cambria Math"/>
              </w:rPr>
              <m:t>−</m:t>
            </m:r>
            <m:r>
              <m:rPr>
                <m:sty m:val="p"/>
              </m:rPr>
              <w:rPr>
                <w:rFonts w:ascii="Cambria Math"/>
              </w:rPr>
              <m:t>协商</m:t>
            </m:r>
            <m:ctrlPr>
              <w:rPr>
                <w:rFonts w:ascii="Cambria Math" w:hAnsi="Cambria Math"/>
                <w:i/>
              </w:rPr>
            </m:ctrlPr>
          </m:sub>
        </m:sSub>
      </m:oMath>
      <w:r>
        <w:rPr>
          <w:rFonts w:hint="eastAsia"/>
          <w:kern w:val="44"/>
        </w:rPr>
        <w:t>小于等于污水集中处理设施</w:t>
      </w:r>
      <w:r>
        <w:rPr>
          <w:rFonts w:hint="eastAsia"/>
        </w:rPr>
        <w:t>设计处理水量；</w:t>
      </w:r>
    </w:p>
    <w:p w14:paraId="2ECF0A4D">
      <w:pPr>
        <w:pStyle w:val="174"/>
        <w:numPr>
          <w:ilvl w:val="0"/>
          <w:numId w:val="33"/>
        </w:numPr>
        <w:snapToGrid w:val="0"/>
        <w:ind w:left="850" w:hanging="425"/>
      </w:pPr>
      <m:oMath>
        <m:sSub>
          <m:sSubPr>
            <m:ctrlPr>
              <w:rPr>
                <w:rFonts w:ascii="Cambria Math" w:hAnsi="Cambria Math"/>
                <w:i/>
              </w:rPr>
            </m:ctrlPr>
          </m:sSubPr>
          <m:e>
            <m:r>
              <m:rPr/>
              <w:rPr>
                <w:rFonts w:ascii="Cambria Math"/>
              </w:rPr>
              <m:t>C</m:t>
            </m:r>
            <m:ctrlPr>
              <w:rPr>
                <w:rFonts w:ascii="Cambria Math" w:hAnsi="Cambria Math"/>
                <w:i/>
              </w:rPr>
            </m:ctrlPr>
          </m:e>
          <m:sub>
            <m:r>
              <m:rPr/>
              <w:rPr>
                <w:rFonts w:hint="eastAsia" w:ascii="Cambria Math"/>
              </w:rPr>
              <m:t>wwpt</m:t>
            </m:r>
            <m:r>
              <m:rPr/>
              <w:rPr>
                <w:rFonts w:ascii="Cambria Math"/>
              </w:rPr>
              <m:t>−</m:t>
            </m:r>
            <m:r>
              <m:rPr>
                <m:sty m:val="p"/>
              </m:rPr>
              <w:rPr>
                <w:rFonts w:ascii="Cambria Math"/>
              </w:rPr>
              <m:t>进水</m:t>
            </m:r>
            <m:r>
              <m:rPr/>
              <w:rPr>
                <w:rFonts w:ascii="Cambria Math"/>
              </w:rPr>
              <m:t>j</m:t>
            </m:r>
            <m:r>
              <m:rPr>
                <m:sty m:val="p"/>
              </m:rPr>
              <w:rPr>
                <w:rFonts w:ascii="Cambria Math"/>
              </w:rPr>
              <m:t>,折算</m:t>
            </m:r>
            <m:ctrlPr>
              <w:rPr>
                <w:rFonts w:ascii="Cambria Math" w:hAnsi="Cambria Math"/>
                <w:i/>
              </w:rPr>
            </m:ctrlPr>
          </m:sub>
        </m:sSub>
      </m:oMath>
      <w:r>
        <w:rPr>
          <w:rFonts w:hint="eastAsia" w:ascii="Calibri"/>
          <w:kern w:val="44"/>
        </w:rPr>
        <w:t>小于等于污</w:t>
      </w:r>
      <w:r>
        <w:rPr>
          <w:rFonts w:hint="eastAsia"/>
          <w:kern w:val="44"/>
        </w:rPr>
        <w:t>水集中处理设施</w:t>
      </w:r>
      <w:r>
        <w:rPr>
          <w:rFonts w:hint="eastAsia"/>
        </w:rPr>
        <w:t>设计</w:t>
      </w:r>
      <w:r>
        <w:rPr>
          <w:rFonts w:hint="eastAsia" w:ascii="Calibri"/>
        </w:rPr>
        <w:t>进水水质</w:t>
      </w:r>
      <w:r>
        <w:rPr>
          <w:rFonts w:hint="eastAsia"/>
        </w:rPr>
        <w:t>。</w:t>
      </w:r>
    </w:p>
    <w:bookmarkEnd w:id="69"/>
    <w:p w14:paraId="57CAF759">
      <w:pPr>
        <w:pStyle w:val="105"/>
        <w:shd w:val="clear" w:color="000000" w:fill="auto"/>
        <w:spacing w:before="156" w:after="156"/>
      </w:pPr>
      <w:r>
        <w:rPr>
          <w:rFonts w:hint="eastAsia"/>
        </w:rPr>
        <w:t>碳源需求评估</w:t>
      </w:r>
    </w:p>
    <w:p w14:paraId="20800732">
      <w:pPr>
        <w:pStyle w:val="56"/>
        <w:shd w:val="clear" w:color="000000" w:fill="auto"/>
        <w:ind w:firstLine="420"/>
        <w:rPr>
          <w:rFonts w:hint="eastAsia" w:hAnsi="宋体"/>
        </w:rPr>
      </w:pPr>
      <w:r>
        <w:rPr>
          <w:rFonts w:hint="eastAsia" w:hAnsi="宋体"/>
        </w:rPr>
        <w:t>主要开展实际运行中碳源投加量分析、理论碳源和可使用碳源对比分析等。其中理论碳源和可使用碳源对比分析要求如下：</w:t>
      </w:r>
    </w:p>
    <w:p w14:paraId="1F2CA86F">
      <w:pPr>
        <w:pStyle w:val="174"/>
        <w:numPr>
          <w:ilvl w:val="0"/>
          <w:numId w:val="34"/>
        </w:numPr>
      </w:pPr>
      <w:r>
        <w:rPr>
          <w:rFonts w:hint="eastAsia"/>
        </w:rPr>
        <w:t>理论碳源需求量分析</w:t>
      </w:r>
    </w:p>
    <w:p w14:paraId="6AA0D849">
      <w:pPr>
        <w:pStyle w:val="56"/>
        <w:ind w:firstLine="420"/>
      </w:pPr>
      <w:r>
        <w:rPr>
          <w:rFonts w:hint="eastAsia"/>
        </w:rPr>
        <w:t>通过计算污水集中处理设施活性污泥脱氮过程的理论碳源需求量，计算见公式（3）：</w:t>
      </w:r>
    </w:p>
    <w:p w14:paraId="37966188">
      <w:pPr>
        <w:pStyle w:val="113"/>
        <w:rPr>
          <w:rFonts w:hint="eastAsia"/>
          <w:lang w:bidi="ar"/>
        </w:rPr>
      </w:pPr>
      <w:r>
        <w:rPr>
          <w:lang w:bidi="ar"/>
        </w:rPr>
        <w:tab/>
      </w:r>
      <w:bookmarkStart w:id="70" w:name="_Hlk234914709"/>
      <m:oMath>
        <m:sSub>
          <m:sSubPr>
            <m:ctrlPr>
              <w:rPr>
                <w:rFonts w:ascii="Cambria Math" w:hAnsi="Cambria Math" w:cs="宋体"/>
                <w:i/>
                <w:color w:val="000000"/>
                <w:kern w:val="0"/>
                <w:lang w:bidi="ar"/>
              </w:rPr>
            </m:ctrlPr>
          </m:sSubPr>
          <m:e>
            <m:r>
              <m:rPr/>
              <w:rPr>
                <w:rFonts w:ascii="Cambria Math" w:cs="宋体"/>
                <w:color w:val="000000"/>
                <w:kern w:val="0"/>
                <w:lang w:bidi="ar"/>
              </w:rPr>
              <m:t>C</m:t>
            </m:r>
            <m:ctrlPr>
              <w:rPr>
                <w:rFonts w:ascii="Cambria Math" w:hAnsi="Cambria Math" w:cs="宋体"/>
                <w:i/>
                <w:color w:val="000000"/>
                <w:kern w:val="0"/>
                <w:lang w:bidi="ar"/>
              </w:rPr>
            </m:ctrlPr>
          </m:e>
          <m:sub>
            <m:r>
              <m:rPr/>
              <w:rPr>
                <w:rFonts w:hint="eastAsia" w:ascii="Cambria Math" w:cs="宋体"/>
                <w:color w:val="000000"/>
                <w:kern w:val="0"/>
                <w:lang w:bidi="ar"/>
              </w:rPr>
              <m:t>wwpt</m:t>
            </m:r>
            <m:r>
              <m:rPr/>
              <w:rPr>
                <w:rFonts w:ascii="Cambria Math" w:cs="宋体"/>
                <w:color w:val="000000"/>
                <w:kern w:val="0"/>
                <w:lang w:bidi="ar"/>
              </w:rPr>
              <m:t>−</m:t>
            </m:r>
            <m:r>
              <m:rPr/>
              <w:rPr>
                <w:rFonts w:hint="eastAsia" w:ascii="Cambria Math" w:cs="宋体"/>
                <w:color w:val="000000"/>
                <w:kern w:val="0"/>
                <w:lang w:bidi="ar"/>
              </w:rPr>
              <m:t>t</m:t>
            </m:r>
            <m:ctrlPr>
              <w:rPr>
                <w:rFonts w:ascii="Cambria Math" w:hAnsi="Cambria Math" w:cs="宋体"/>
                <w:i/>
                <w:color w:val="000000"/>
                <w:kern w:val="0"/>
                <w:lang w:bidi="ar"/>
              </w:rPr>
            </m:ctrlPr>
          </m:sub>
        </m:sSub>
        <m:r>
          <m:rPr/>
          <w:rPr>
            <w:rFonts w:ascii="Cambria Math" w:cs="宋体"/>
            <w:color w:val="000000"/>
            <w:kern w:val="0"/>
            <w:lang w:bidi="ar"/>
          </w:rPr>
          <m:t>=</m:t>
        </m:r>
        <m:sSub>
          <m:sSubPr>
            <m:ctrlPr>
              <w:rPr>
                <w:rFonts w:ascii="Cambria Math" w:hAnsi="Cambria Math"/>
                <w:i/>
              </w:rPr>
            </m:ctrlPr>
          </m:sSubPr>
          <m:e>
            <m:r>
              <m:rPr/>
              <w:rPr>
                <w:rFonts w:ascii="Cambria Math"/>
              </w:rPr>
              <m:t>Q</m:t>
            </m:r>
            <m:ctrlPr>
              <w:rPr>
                <w:rFonts w:ascii="Cambria Math" w:hAnsi="Cambria Math"/>
                <w:i/>
              </w:rPr>
            </m:ctrlPr>
          </m:e>
          <m:sub>
            <m:r>
              <m:rPr/>
              <w:rPr>
                <w:rFonts w:hint="eastAsia" w:ascii="Cambria Math"/>
              </w:rPr>
              <m:t>wwpt</m:t>
            </m:r>
            <m:ctrlPr>
              <w:rPr>
                <w:rFonts w:ascii="Cambria Math" w:hAnsi="Cambria Math"/>
                <w:i/>
              </w:rPr>
            </m:ctrlPr>
          </m:sub>
        </m:sSub>
        <m:r>
          <m:rPr/>
          <w:rPr>
            <w:rFonts w:ascii="Cambria Math" w:cs="宋体"/>
            <w:color w:val="000000"/>
            <w:kern w:val="0"/>
            <w:lang w:bidi="ar"/>
          </w:rPr>
          <m:t>×（</m:t>
        </m:r>
        <m:sSub>
          <m:sSubPr>
            <m:ctrlPr>
              <w:rPr>
                <w:rFonts w:ascii="Cambria Math" w:hAnsi="Cambria Math" w:cs="宋体"/>
                <w:i/>
                <w:color w:val="000000"/>
                <w:kern w:val="0"/>
                <w:lang w:bidi="ar"/>
              </w:rPr>
            </m:ctrlPr>
          </m:sSubPr>
          <m:e>
            <m:r>
              <m:rPr/>
              <w:rPr>
                <w:rFonts w:ascii="Cambria Math" w:cs="宋体"/>
                <w:color w:val="000000"/>
                <w:kern w:val="0"/>
                <w:lang w:bidi="ar"/>
              </w:rPr>
              <m:t>C</m:t>
            </m:r>
            <m:ctrlPr>
              <w:rPr>
                <w:rFonts w:ascii="Cambria Math" w:hAnsi="Cambria Math" w:cs="宋体"/>
                <w:i/>
                <w:color w:val="000000"/>
                <w:kern w:val="0"/>
                <w:lang w:bidi="ar"/>
              </w:rPr>
            </m:ctrlPr>
          </m:e>
          <m:sub>
            <m:r>
              <m:rPr/>
              <w:rPr>
                <w:rFonts w:hint="eastAsia" w:ascii="Cambria Math" w:cs="宋体"/>
                <w:color w:val="000000"/>
                <w:kern w:val="0"/>
                <w:lang w:bidi="ar"/>
              </w:rPr>
              <m:t>wwpt</m:t>
            </m:r>
            <m:r>
              <m:rPr>
                <m:sty m:val="p"/>
              </m:rPr>
              <w:rPr>
                <w:rFonts w:ascii="Cambria Math" w:cs="宋体"/>
                <w:color w:val="000000"/>
                <w:kern w:val="0"/>
                <w:lang w:bidi="ar"/>
              </w:rPr>
              <m:t>−TN</m:t>
            </m:r>
            <m:r>
              <m:rPr>
                <m:sty m:val="p"/>
              </m:rPr>
              <w:rPr>
                <w:rFonts w:hint="eastAsia" w:ascii="Cambria Math" w:cs="宋体"/>
                <w:color w:val="000000"/>
                <w:kern w:val="0"/>
                <w:lang w:bidi="ar"/>
              </w:rPr>
              <m:t>进水</m:t>
            </m:r>
            <m:ctrlPr>
              <w:rPr>
                <w:rFonts w:ascii="Cambria Math" w:hAnsi="Cambria Math" w:cs="宋体"/>
                <w:i/>
                <w:color w:val="000000"/>
                <w:kern w:val="0"/>
                <w:lang w:bidi="ar"/>
              </w:rPr>
            </m:ctrlPr>
          </m:sub>
        </m:sSub>
        <m:r>
          <m:rPr/>
          <w:rPr>
            <w:rFonts w:hint="eastAsia" w:ascii="微软雅黑" w:hAnsi="微软雅黑" w:eastAsia="微软雅黑" w:cs="微软雅黑"/>
            <w:color w:val="000000"/>
            <w:kern w:val="0"/>
            <w:lang w:bidi="ar"/>
          </w:rPr>
          <m:t>−</m:t>
        </m:r>
        <m:sSub>
          <m:sSubPr>
            <m:ctrlPr>
              <w:rPr>
                <w:rFonts w:ascii="Cambria Math" w:hAnsi="Cambria Math" w:cs="宋体"/>
                <w:i/>
                <w:color w:val="000000"/>
                <w:kern w:val="0"/>
                <w:lang w:bidi="ar"/>
              </w:rPr>
            </m:ctrlPr>
          </m:sSubPr>
          <m:e>
            <m:r>
              <m:rPr/>
              <w:rPr>
                <w:rFonts w:ascii="Cambria Math" w:cs="宋体"/>
                <w:color w:val="000000"/>
                <w:kern w:val="0"/>
                <w:lang w:bidi="ar"/>
              </w:rPr>
              <m:t>C</m:t>
            </m:r>
            <m:ctrlPr>
              <w:rPr>
                <w:rFonts w:ascii="Cambria Math" w:hAnsi="Cambria Math" w:cs="宋体"/>
                <w:i/>
                <w:color w:val="000000"/>
                <w:kern w:val="0"/>
                <w:lang w:bidi="ar"/>
              </w:rPr>
            </m:ctrlPr>
          </m:e>
          <m:sub>
            <m:r>
              <m:rPr/>
              <w:rPr>
                <w:rFonts w:hint="eastAsia" w:ascii="Cambria Math" w:cs="宋体"/>
                <w:color w:val="000000"/>
                <w:kern w:val="0"/>
                <w:lang w:bidi="ar"/>
              </w:rPr>
              <m:t>wwpt</m:t>
            </m:r>
            <m:r>
              <m:rPr>
                <m:sty m:val="p"/>
              </m:rPr>
              <w:rPr>
                <w:rFonts w:ascii="Cambria Math" w:cs="宋体"/>
                <w:color w:val="000000"/>
                <w:kern w:val="0"/>
                <w:lang w:bidi="ar"/>
              </w:rPr>
              <m:t>−TN</m:t>
            </m:r>
            <m:r>
              <m:rPr>
                <m:sty m:val="p"/>
              </m:rPr>
              <w:rPr>
                <w:rFonts w:hint="eastAsia" w:ascii="Cambria Math" w:cs="宋体"/>
                <w:color w:val="000000"/>
                <w:kern w:val="0"/>
                <w:lang w:bidi="ar"/>
              </w:rPr>
              <m:t>限值</m:t>
            </m:r>
            <m:ctrlPr>
              <w:rPr>
                <w:rFonts w:ascii="Cambria Math" w:hAnsi="Cambria Math" w:cs="宋体"/>
                <w:i/>
                <w:color w:val="000000"/>
                <w:kern w:val="0"/>
                <w:lang w:bidi="ar"/>
              </w:rPr>
            </m:ctrlPr>
          </m:sub>
        </m:sSub>
        <m:r>
          <m:rPr/>
          <w:rPr>
            <w:rFonts w:ascii="Cambria Math" w:cs="宋体"/>
            <w:color w:val="000000"/>
            <w:kern w:val="0"/>
            <w:lang w:bidi="ar"/>
          </w:rPr>
          <m:t>）×k×1</m:t>
        </m:r>
        <m:sSup>
          <m:sSupPr>
            <m:ctrlPr>
              <w:rPr>
                <w:rFonts w:ascii="Cambria Math" w:hAnsi="Cambria Math" w:cs="宋体"/>
                <w:i/>
                <w:color w:val="000000"/>
                <w:kern w:val="0"/>
                <w:lang w:bidi="ar"/>
              </w:rPr>
            </m:ctrlPr>
          </m:sSupPr>
          <m:e>
            <m:r>
              <m:rPr/>
              <w:rPr>
                <w:rFonts w:ascii="Cambria Math" w:cs="宋体"/>
                <w:color w:val="000000"/>
                <w:kern w:val="0"/>
                <w:lang w:bidi="ar"/>
              </w:rPr>
              <m:t>0</m:t>
            </m:r>
            <m:ctrlPr>
              <w:rPr>
                <w:rFonts w:ascii="Cambria Math" w:hAnsi="Cambria Math" w:cs="宋体"/>
                <w:i/>
                <w:color w:val="000000"/>
                <w:kern w:val="0"/>
                <w:lang w:bidi="ar"/>
              </w:rPr>
            </m:ctrlPr>
          </m:e>
          <m:sup>
            <m:r>
              <m:rPr/>
              <w:rPr>
                <w:rFonts w:hint="eastAsia" w:ascii="微软雅黑" w:hAnsi="微软雅黑" w:eastAsia="微软雅黑" w:cs="微软雅黑"/>
                <w:color w:val="000000"/>
                <w:kern w:val="0"/>
                <w:lang w:bidi="ar"/>
              </w:rPr>
              <m:t>−</m:t>
            </m:r>
            <m:r>
              <m:rPr/>
              <w:rPr>
                <w:rFonts w:ascii="Cambria Math" w:cs="宋体"/>
                <w:color w:val="000000"/>
                <w:kern w:val="0"/>
                <w:lang w:bidi="ar"/>
              </w:rPr>
              <m:t>3</m:t>
            </m:r>
            <m:ctrlPr>
              <w:rPr>
                <w:rFonts w:ascii="Cambria Math" w:hAnsi="Cambria Math" w:cs="宋体"/>
                <w:i/>
                <w:color w:val="000000"/>
                <w:kern w:val="0"/>
                <w:lang w:bidi="ar"/>
              </w:rPr>
            </m:ctrlPr>
          </m:sup>
        </m:sSup>
      </m:oMath>
      <w:bookmarkEnd w:id="70"/>
      <w:r>
        <w:rPr>
          <w:rFonts w:ascii="微软雅黑" w:hAnsi="微软雅黑" w:eastAsia="微软雅黑"/>
          <w:lang w:bidi="ar"/>
        </w:rPr>
        <w:tab/>
      </w:r>
      <w:r>
        <w:rPr>
          <w:lang w:bidi="ar"/>
        </w:rPr>
        <w:t>(</w:t>
      </w:r>
      <w:r>
        <w:rPr>
          <w:rFonts w:hint="eastAsia"/>
          <w:lang w:bidi="ar"/>
        </w:rPr>
        <w:t>3</w:t>
      </w:r>
      <w:r>
        <w:rPr>
          <w:lang w:bidi="ar"/>
        </w:rPr>
        <w:t>)</w:t>
      </w:r>
    </w:p>
    <w:p w14:paraId="1F285F4C">
      <w:pPr>
        <w:pStyle w:val="55"/>
        <w:ind w:firstLine="420"/>
        <w:rPr>
          <w:lang w:bidi="ar"/>
        </w:rPr>
      </w:pPr>
      <w:r>
        <w:rPr>
          <w:rFonts w:hint="eastAsia"/>
          <w:lang w:bidi="ar"/>
        </w:rPr>
        <w:t>式中：</w:t>
      </w:r>
    </w:p>
    <w:p w14:paraId="6ADCA59F">
      <w:pPr>
        <w:snapToGrid w:val="0"/>
        <w:spacing w:line="240" w:lineRule="auto"/>
        <w:ind w:firstLine="420" w:firstLineChars="200"/>
        <w:jc w:val="left"/>
        <w:rPr>
          <w:rFonts w:hint="eastAsia" w:ascii="宋体" w:hAnsi="宋体"/>
          <w:kern w:val="44"/>
        </w:rPr>
      </w:pPr>
      <w:bookmarkStart w:id="71" w:name="_Hlk234914723"/>
      <m:oMath>
        <m:sSub>
          <m:sSubPr>
            <m:ctrlPr>
              <w:rPr>
                <w:rFonts w:ascii="Cambria Math" w:hAnsi="宋体" w:cs="宋体"/>
                <w:i/>
                <w:color w:val="000000"/>
                <w:kern w:val="0"/>
                <w:lang w:bidi="ar"/>
              </w:rPr>
            </m:ctrlPr>
          </m:sSubPr>
          <m:e>
            <m:r>
              <m:rPr/>
              <w:rPr>
                <w:rFonts w:ascii="Cambria Math" w:cs="宋体"/>
                <w:color w:val="000000"/>
                <w:kern w:val="0"/>
                <w:lang w:bidi="ar"/>
              </w:rPr>
              <m:t>C</m:t>
            </m:r>
            <m:ctrlPr>
              <w:rPr>
                <w:rFonts w:ascii="Cambria Math" w:hAnsi="宋体" w:cs="宋体"/>
                <w:i/>
                <w:color w:val="000000"/>
                <w:kern w:val="0"/>
                <w:lang w:bidi="ar"/>
              </w:rPr>
            </m:ctrlPr>
          </m:e>
          <m:sub>
            <m:r>
              <m:rPr/>
              <w:rPr>
                <w:rFonts w:hint="eastAsia" w:ascii="Cambria Math" w:cs="宋体"/>
                <w:color w:val="000000"/>
                <w:kern w:val="0"/>
                <w:lang w:bidi="ar"/>
              </w:rPr>
              <m:t>wwpt</m:t>
            </m:r>
            <m:r>
              <m:rPr/>
              <w:rPr>
                <w:rFonts w:ascii="Cambria Math" w:cs="宋体"/>
                <w:color w:val="000000"/>
                <w:kern w:val="0"/>
                <w:lang w:bidi="ar"/>
              </w:rPr>
              <m:t>−</m:t>
            </m:r>
            <m:r>
              <m:rPr/>
              <w:rPr>
                <w:rFonts w:hint="eastAsia" w:ascii="Cambria Math" w:cs="宋体"/>
                <w:color w:val="000000"/>
                <w:kern w:val="0"/>
                <w:lang w:bidi="ar"/>
              </w:rPr>
              <m:t>t</m:t>
            </m:r>
            <m:ctrlPr>
              <w:rPr>
                <w:rFonts w:ascii="Cambria Math" w:hAnsi="宋体" w:cs="宋体"/>
                <w:i/>
                <w:color w:val="000000"/>
                <w:kern w:val="0"/>
                <w:lang w:bidi="ar"/>
              </w:rPr>
            </m:ctrlPr>
          </m:sub>
        </m:sSub>
      </m:oMath>
      <w:r>
        <w:rPr>
          <w:rFonts w:hint="eastAsia" w:ascii="宋体" w:hAnsi="宋体"/>
          <w:color w:val="333333"/>
        </w:rPr>
        <w:t>——</w:t>
      </w:r>
      <w:r>
        <w:rPr>
          <w:rFonts w:hint="eastAsia" w:ascii="宋体" w:hAnsi="宋体"/>
          <w:kern w:val="44"/>
        </w:rPr>
        <w:t>脱氮理论碳源需求量，kg B</w:t>
      </w:r>
      <w:r>
        <w:rPr>
          <w:rFonts w:ascii="宋体" w:hAnsi="宋体"/>
          <w:kern w:val="44"/>
        </w:rPr>
        <w:t>OD</w:t>
      </w:r>
      <w:r>
        <w:rPr>
          <w:rFonts w:hint="eastAsia" w:ascii="宋体" w:hAnsi="宋体"/>
          <w:kern w:val="44"/>
          <w:vertAlign w:val="subscript"/>
        </w:rPr>
        <w:t>5</w:t>
      </w:r>
      <w:r>
        <w:rPr>
          <w:rFonts w:hint="eastAsia" w:ascii="宋体" w:hAnsi="宋体"/>
          <w:kern w:val="44"/>
        </w:rPr>
        <w:t>；</w:t>
      </w:r>
    </w:p>
    <w:p w14:paraId="5591794F">
      <w:pPr>
        <w:snapToGrid w:val="0"/>
        <w:spacing w:line="240" w:lineRule="auto"/>
        <w:ind w:firstLine="420" w:firstLineChars="200"/>
        <w:rPr>
          <w:rFonts w:hint="eastAsia" w:ascii="宋体" w:hAnsi="宋体"/>
          <w:kern w:val="44"/>
        </w:rPr>
      </w:pPr>
      <m:oMath>
        <m:sSub>
          <m:sSubPr>
            <m:ctrlPr>
              <w:rPr>
                <w:rFonts w:ascii="Cambria Math" w:hAnsi="宋体" w:cs="宋体"/>
                <w:i/>
                <w:color w:val="000000"/>
                <w:kern w:val="0"/>
                <w:lang w:bidi="ar"/>
              </w:rPr>
            </m:ctrlPr>
          </m:sSubPr>
          <m:e>
            <m:r>
              <m:rPr/>
              <w:rPr>
                <w:rFonts w:ascii="Cambria Math" w:cs="宋体"/>
                <w:color w:val="000000"/>
                <w:kern w:val="0"/>
                <w:lang w:bidi="ar"/>
              </w:rPr>
              <m:t>C</m:t>
            </m:r>
            <m:ctrlPr>
              <w:rPr>
                <w:rFonts w:ascii="Cambria Math" w:hAnsi="宋体" w:cs="宋体"/>
                <w:i/>
                <w:color w:val="000000"/>
                <w:kern w:val="0"/>
                <w:lang w:bidi="ar"/>
              </w:rPr>
            </m:ctrlPr>
          </m:e>
          <m:sub>
            <m:r>
              <m:rPr/>
              <w:rPr>
                <w:rFonts w:hint="eastAsia" w:ascii="Cambria Math" w:cs="宋体"/>
                <w:color w:val="000000"/>
                <w:kern w:val="0"/>
                <w:lang w:bidi="ar"/>
              </w:rPr>
              <m:t>wwpt</m:t>
            </m:r>
            <m:r>
              <m:rPr>
                <m:sty m:val="p"/>
              </m:rPr>
              <w:rPr>
                <w:rFonts w:ascii="Cambria Math" w:cs="宋体"/>
                <w:color w:val="000000"/>
                <w:kern w:val="0"/>
                <w:lang w:bidi="ar"/>
              </w:rPr>
              <m:t>−TN</m:t>
            </m:r>
            <m:r>
              <m:rPr>
                <m:sty m:val="p"/>
              </m:rPr>
              <w:rPr>
                <w:rFonts w:hint="eastAsia" w:ascii="Cambria Math" w:cs="宋体"/>
                <w:color w:val="000000"/>
                <w:kern w:val="0"/>
                <w:lang w:bidi="ar"/>
              </w:rPr>
              <m:t>进水</m:t>
            </m:r>
            <m:ctrlPr>
              <w:rPr>
                <w:rFonts w:ascii="Cambria Math" w:hAnsi="宋体" w:cs="宋体"/>
                <w:i/>
                <w:color w:val="000000"/>
                <w:kern w:val="0"/>
                <w:lang w:bidi="ar"/>
              </w:rPr>
            </m:ctrlPr>
          </m:sub>
        </m:sSub>
      </m:oMath>
      <w:r>
        <w:rPr>
          <w:rFonts w:hint="eastAsia" w:ascii="宋体" w:hAnsi="宋体"/>
          <w:color w:val="333333"/>
        </w:rPr>
        <w:t>——</w:t>
      </w:r>
      <w:r>
        <w:rPr>
          <w:rFonts w:hint="eastAsia" w:ascii="宋体" w:hAnsi="宋体"/>
          <w:kern w:val="44"/>
        </w:rPr>
        <w:t>污水集中处理设施进水总氮浓度，mg/L；</w:t>
      </w:r>
    </w:p>
    <w:p w14:paraId="48E7AD41">
      <w:pPr>
        <w:snapToGrid w:val="0"/>
        <w:spacing w:line="240" w:lineRule="auto"/>
        <w:ind w:firstLine="420" w:firstLineChars="200"/>
        <w:rPr>
          <w:rFonts w:hint="eastAsia" w:ascii="宋体" w:hAnsi="宋体"/>
          <w:kern w:val="44"/>
        </w:rPr>
      </w:pPr>
      <m:oMath>
        <m:sSub>
          <m:sSubPr>
            <m:ctrlPr>
              <w:rPr>
                <w:rFonts w:ascii="Cambria Math" w:hAnsi="宋体" w:cs="宋体"/>
                <w:i/>
                <w:color w:val="000000"/>
                <w:kern w:val="0"/>
                <w:lang w:bidi="ar"/>
              </w:rPr>
            </m:ctrlPr>
          </m:sSubPr>
          <m:e>
            <m:r>
              <m:rPr/>
              <w:rPr>
                <w:rFonts w:ascii="Cambria Math" w:cs="宋体"/>
                <w:color w:val="000000"/>
                <w:kern w:val="0"/>
                <w:lang w:bidi="ar"/>
              </w:rPr>
              <m:t>C</m:t>
            </m:r>
            <m:ctrlPr>
              <w:rPr>
                <w:rFonts w:ascii="Cambria Math" w:hAnsi="宋体" w:cs="宋体"/>
                <w:i/>
                <w:color w:val="000000"/>
                <w:kern w:val="0"/>
                <w:lang w:bidi="ar"/>
              </w:rPr>
            </m:ctrlPr>
          </m:e>
          <m:sub>
            <m:r>
              <m:rPr/>
              <w:rPr>
                <w:rFonts w:hint="eastAsia" w:ascii="Cambria Math" w:cs="宋体"/>
                <w:color w:val="000000"/>
                <w:kern w:val="0"/>
                <w:lang w:bidi="ar"/>
              </w:rPr>
              <m:t>wwpt</m:t>
            </m:r>
            <m:r>
              <m:rPr>
                <m:sty m:val="p"/>
              </m:rPr>
              <w:rPr>
                <w:rFonts w:ascii="Cambria Math" w:cs="宋体"/>
                <w:color w:val="000000"/>
                <w:kern w:val="0"/>
                <w:lang w:bidi="ar"/>
              </w:rPr>
              <m:t>−TN</m:t>
            </m:r>
            <m:r>
              <m:rPr>
                <m:sty m:val="p"/>
              </m:rPr>
              <w:rPr>
                <w:rFonts w:hint="eastAsia" w:ascii="Cambria Math" w:cs="宋体"/>
                <w:color w:val="000000"/>
                <w:kern w:val="0"/>
                <w:lang w:bidi="ar"/>
              </w:rPr>
              <m:t>限值</m:t>
            </m:r>
            <m:ctrlPr>
              <w:rPr>
                <w:rFonts w:ascii="Cambria Math" w:hAnsi="宋体" w:cs="宋体"/>
                <w:i/>
                <w:color w:val="000000"/>
                <w:kern w:val="0"/>
                <w:lang w:bidi="ar"/>
              </w:rPr>
            </m:ctrlPr>
          </m:sub>
        </m:sSub>
      </m:oMath>
      <w:r>
        <w:rPr>
          <w:rFonts w:hint="eastAsia" w:ascii="宋体" w:hAnsi="宋体"/>
          <w:color w:val="333333"/>
        </w:rPr>
        <w:t>——</w:t>
      </w:r>
      <w:r>
        <w:rPr>
          <w:rFonts w:hint="eastAsia" w:ascii="宋体" w:hAnsi="宋体"/>
          <w:kern w:val="44"/>
        </w:rPr>
        <w:t>污水集中处理设施执行的总氮标准限值，mg/L；</w:t>
      </w:r>
    </w:p>
    <w:p w14:paraId="7AEE837B">
      <w:pPr>
        <w:snapToGrid w:val="0"/>
        <w:spacing w:line="240" w:lineRule="auto"/>
        <w:ind w:firstLine="420" w:firstLineChars="200"/>
        <w:rPr>
          <w:rFonts w:hint="eastAsia" w:ascii="宋体" w:hAnsi="宋体"/>
          <w:kern w:val="44"/>
          <w:position w:val="-6"/>
        </w:rPr>
      </w:pPr>
      <m:oMath>
        <m:r>
          <m:rPr/>
          <w:rPr>
            <w:rFonts w:ascii="Cambria Math" w:hAnsi="宋体"/>
            <w:kern w:val="44"/>
          </w:rPr>
          <m:t>k</m:t>
        </m:r>
      </m:oMath>
      <w:r>
        <w:rPr>
          <w:rFonts w:hint="eastAsia" w:ascii="宋体" w:hAnsi="宋体"/>
          <w:color w:val="333333"/>
        </w:rPr>
        <w:t>——</w:t>
      </w:r>
      <w:r>
        <w:rPr>
          <w:rFonts w:ascii="宋体" w:hAnsi="宋体"/>
          <w:kern w:val="44"/>
          <w:position w:val="-6"/>
        </w:rPr>
        <w:t>1kgNO</w:t>
      </w:r>
      <w:r>
        <w:rPr>
          <w:rFonts w:ascii="宋体" w:hAnsi="宋体"/>
          <w:kern w:val="44"/>
          <w:position w:val="-6"/>
          <w:vertAlign w:val="subscript"/>
        </w:rPr>
        <w:t>3</w:t>
      </w:r>
      <w:r>
        <w:rPr>
          <w:rFonts w:ascii="宋体" w:hAnsi="宋体"/>
          <w:kern w:val="44"/>
          <w:position w:val="-6"/>
        </w:rPr>
        <w:t>-N反硝化所需碳源的计量学系数，取值为</w:t>
      </w:r>
      <w:r>
        <w:rPr>
          <w:rFonts w:hint="eastAsia" w:ascii="宋体" w:hAnsi="宋体"/>
          <w:kern w:val="44"/>
          <w:position w:val="-6"/>
        </w:rPr>
        <w:t>4.5；</w:t>
      </w:r>
    </w:p>
    <w:p w14:paraId="37647645">
      <w:pPr>
        <w:snapToGrid w:val="0"/>
        <w:spacing w:line="240" w:lineRule="auto"/>
        <w:ind w:firstLine="420" w:firstLineChars="200"/>
        <w:rPr>
          <w:rFonts w:hint="eastAsia" w:ascii="宋体" w:hAnsi="宋体"/>
          <w:kern w:val="44"/>
          <w:position w:val="-6"/>
        </w:rPr>
      </w:pPr>
      <m:oMath>
        <m:sSub>
          <m:sSubPr>
            <m:ctrlPr>
              <w:rPr>
                <w:rFonts w:ascii="Cambria Math" w:hAnsi="宋体"/>
                <w:i/>
              </w:rPr>
            </m:ctrlPr>
          </m:sSubPr>
          <m:e>
            <m:r>
              <m:rPr/>
              <w:rPr>
                <w:rFonts w:ascii="Cambria Math"/>
              </w:rPr>
              <m:t>Q</m:t>
            </m:r>
            <m:ctrlPr>
              <w:rPr>
                <w:rFonts w:ascii="Cambria Math" w:hAnsi="宋体"/>
                <w:i/>
              </w:rPr>
            </m:ctrlPr>
          </m:e>
          <m:sub>
            <m:r>
              <m:rPr/>
              <w:rPr>
                <w:rFonts w:hint="eastAsia" w:ascii="Cambria Math"/>
              </w:rPr>
              <m:t>wwpt</m:t>
            </m:r>
            <m:ctrlPr>
              <w:rPr>
                <w:rFonts w:ascii="Cambria Math" w:hAnsi="宋体"/>
                <w:i/>
              </w:rPr>
            </m:ctrlPr>
          </m:sub>
        </m:sSub>
      </m:oMath>
      <w:r>
        <w:rPr>
          <w:rFonts w:hint="eastAsia" w:ascii="宋体" w:hAnsi="宋体"/>
          <w:kern w:val="44"/>
        </w:rPr>
        <w:t>见公式（1）。</w:t>
      </w:r>
    </w:p>
    <w:bookmarkEnd w:id="71"/>
    <w:p w14:paraId="2B3702F7">
      <w:pPr>
        <w:pStyle w:val="174"/>
        <w:snapToGrid w:val="0"/>
      </w:pPr>
      <w:r>
        <w:rPr>
          <w:rFonts w:hint="eastAsia"/>
        </w:rPr>
        <w:t>可使用碳源量</w:t>
      </w:r>
    </w:p>
    <w:p w14:paraId="78798C2D">
      <w:pPr>
        <w:pStyle w:val="56"/>
        <w:ind w:firstLine="420"/>
      </w:pPr>
      <w:r>
        <w:rPr>
          <w:rFonts w:hint="eastAsia"/>
        </w:rPr>
        <w:t>常规进水中可使用碳源量计算公式见（4）：</w:t>
      </w:r>
    </w:p>
    <w:p w14:paraId="6A03A15E">
      <w:pPr>
        <w:pStyle w:val="113"/>
        <w:rPr>
          <w:rFonts w:hint="eastAsia"/>
        </w:rPr>
      </w:pPr>
      <w:r>
        <w:tab/>
      </w:r>
      <w:bookmarkStart w:id="72" w:name="_Hlk234914789"/>
      <m:oMath>
        <m:sSub>
          <m:sSubPr>
            <m:ctrlPr>
              <w:rPr>
                <w:rFonts w:ascii="Cambria Math" w:hAnsi="Cambria Math" w:cs="宋体"/>
                <w:i/>
                <w:color w:val="000000"/>
                <w:kern w:val="0"/>
                <w:lang w:bidi="ar"/>
              </w:rPr>
            </m:ctrlPr>
          </m:sSubPr>
          <m:e>
            <m:r>
              <m:rPr/>
              <w:rPr>
                <w:rFonts w:ascii="Cambria Math" w:cs="宋体"/>
                <w:color w:val="000000"/>
                <w:kern w:val="0"/>
                <w:lang w:bidi="ar"/>
              </w:rPr>
              <m:t>C</m:t>
            </m:r>
            <m:ctrlPr>
              <w:rPr>
                <w:rFonts w:ascii="Cambria Math" w:hAnsi="Cambria Math" w:cs="宋体"/>
                <w:i/>
                <w:color w:val="000000"/>
                <w:kern w:val="0"/>
                <w:lang w:bidi="ar"/>
              </w:rPr>
            </m:ctrlPr>
          </m:e>
          <m:sub>
            <m:r>
              <m:rPr/>
              <w:rPr>
                <w:rFonts w:hint="eastAsia" w:ascii="Cambria Math" w:cs="宋体"/>
                <w:color w:val="000000"/>
                <w:kern w:val="0"/>
                <w:lang w:bidi="ar"/>
              </w:rPr>
              <m:t>wwpt</m:t>
            </m:r>
            <m:r>
              <m:rPr/>
              <w:rPr>
                <w:rFonts w:ascii="Cambria Math" w:cs="宋体"/>
                <w:color w:val="000000"/>
                <w:kern w:val="0"/>
                <w:lang w:bidi="ar"/>
              </w:rPr>
              <m:t>−</m:t>
            </m:r>
            <m:r>
              <m:rPr/>
              <w:rPr>
                <w:rFonts w:hint="eastAsia" w:ascii="Cambria Math" w:cs="宋体"/>
                <w:color w:val="000000"/>
                <w:kern w:val="0"/>
                <w:lang w:bidi="ar"/>
              </w:rPr>
              <m:t>p</m:t>
            </m:r>
            <m:ctrlPr>
              <w:rPr>
                <w:rFonts w:ascii="Cambria Math" w:hAnsi="Cambria Math" w:cs="宋体"/>
                <w:i/>
                <w:color w:val="000000"/>
                <w:kern w:val="0"/>
                <w:lang w:bidi="ar"/>
              </w:rPr>
            </m:ctrlPr>
          </m:sub>
        </m:sSub>
        <m:r>
          <m:rPr/>
          <w:rPr>
            <w:rFonts w:ascii="Cambria Math" w:cs="宋体"/>
            <w:color w:val="000000"/>
            <w:kern w:val="0"/>
            <w:lang w:bidi="ar"/>
          </w:rPr>
          <m:t>=</m:t>
        </m:r>
        <m:sSub>
          <m:sSubPr>
            <m:ctrlPr>
              <w:rPr>
                <w:rFonts w:ascii="Cambria Math" w:hAnsi="Cambria Math"/>
                <w:i/>
              </w:rPr>
            </m:ctrlPr>
          </m:sSubPr>
          <m:e>
            <m:r>
              <m:rPr/>
              <w:rPr>
                <w:rFonts w:ascii="Cambria Math"/>
              </w:rPr>
              <m:t>Q</m:t>
            </m:r>
            <m:ctrlPr>
              <w:rPr>
                <w:rFonts w:ascii="Cambria Math" w:hAnsi="Cambria Math"/>
                <w:i/>
              </w:rPr>
            </m:ctrlPr>
          </m:e>
          <m:sub>
            <m:r>
              <m:rPr/>
              <w:rPr>
                <w:rFonts w:hint="eastAsia" w:ascii="Cambria Math"/>
              </w:rPr>
              <m:t>wwpt</m:t>
            </m:r>
            <m:ctrlPr>
              <w:rPr>
                <w:rFonts w:ascii="Cambria Math" w:hAnsi="Cambria Math"/>
                <w:i/>
              </w:rPr>
            </m:ctrlPr>
          </m:sub>
        </m:sSub>
        <m:r>
          <m:rPr/>
          <w:rPr>
            <w:rFonts w:ascii="Cambria Math" w:cs="宋体"/>
            <w:color w:val="000000"/>
            <w:kern w:val="0"/>
            <w:lang w:bidi="ar"/>
          </w:rPr>
          <m:t>×</m:t>
        </m:r>
        <m:sSub>
          <m:sSubPr>
            <m:ctrlPr>
              <w:rPr>
                <w:rFonts w:ascii="Cambria Math" w:hAnsi="Cambria Math" w:cs="宋体"/>
                <w:i/>
                <w:color w:val="000000"/>
                <w:kern w:val="0"/>
                <w:lang w:bidi="ar"/>
              </w:rPr>
            </m:ctrlPr>
          </m:sSubPr>
          <m:e>
            <m:r>
              <m:rPr/>
              <w:rPr>
                <w:rFonts w:ascii="Cambria Math" w:cs="宋体"/>
                <w:color w:val="000000"/>
                <w:kern w:val="0"/>
                <w:lang w:bidi="ar"/>
              </w:rPr>
              <m:t>C</m:t>
            </m:r>
            <m:ctrlPr>
              <w:rPr>
                <w:rFonts w:ascii="Cambria Math" w:hAnsi="Cambria Math" w:cs="宋体"/>
                <w:i/>
                <w:color w:val="000000"/>
                <w:kern w:val="0"/>
                <w:lang w:bidi="ar"/>
              </w:rPr>
            </m:ctrlPr>
          </m:e>
          <m:sub>
            <m:r>
              <m:rPr/>
              <w:rPr>
                <w:rFonts w:hint="eastAsia" w:ascii="Cambria Math" w:cs="宋体"/>
                <w:color w:val="000000"/>
                <w:kern w:val="0"/>
                <w:lang w:bidi="ar"/>
              </w:rPr>
              <m:t>wwpt</m:t>
            </m:r>
            <m:r>
              <m:rPr/>
              <w:rPr>
                <w:rFonts w:ascii="Cambria Math" w:cs="宋体"/>
                <w:color w:val="000000"/>
                <w:kern w:val="0"/>
                <w:lang w:bidi="ar"/>
              </w:rPr>
              <m:t>−in,BO</m:t>
            </m:r>
            <m:sSub>
              <m:sSubPr>
                <m:ctrlPr>
                  <w:rPr>
                    <w:rFonts w:ascii="Cambria Math" w:hAnsi="Cambria Math" w:cs="宋体"/>
                    <w:i/>
                    <w:color w:val="000000"/>
                    <w:kern w:val="0"/>
                    <w:lang w:bidi="ar"/>
                  </w:rPr>
                </m:ctrlPr>
              </m:sSubPr>
              <m:e>
                <m:r>
                  <m:rPr/>
                  <w:rPr>
                    <w:rFonts w:ascii="Cambria Math" w:cs="宋体"/>
                    <w:color w:val="000000"/>
                    <w:kern w:val="0"/>
                    <w:lang w:bidi="ar"/>
                  </w:rPr>
                  <m:t>D</m:t>
                </m:r>
                <m:ctrlPr>
                  <w:rPr>
                    <w:rFonts w:ascii="Cambria Math" w:hAnsi="Cambria Math" w:cs="宋体"/>
                    <w:i/>
                    <w:color w:val="000000"/>
                    <w:kern w:val="0"/>
                    <w:lang w:bidi="ar"/>
                  </w:rPr>
                </m:ctrlPr>
              </m:e>
              <m:sub>
                <m:r>
                  <m:rPr/>
                  <w:rPr>
                    <w:rFonts w:ascii="Cambria Math" w:cs="宋体"/>
                    <w:color w:val="000000"/>
                    <w:kern w:val="0"/>
                    <w:lang w:bidi="ar"/>
                  </w:rPr>
                  <m:t>5</m:t>
                </m:r>
                <m:ctrlPr>
                  <w:rPr>
                    <w:rFonts w:ascii="Cambria Math" w:hAnsi="Cambria Math" w:cs="宋体"/>
                    <w:i/>
                    <w:color w:val="000000"/>
                    <w:kern w:val="0"/>
                    <w:lang w:bidi="ar"/>
                  </w:rPr>
                </m:ctrlPr>
              </m:sub>
            </m:sSub>
            <m:ctrlPr>
              <w:rPr>
                <w:rFonts w:ascii="Cambria Math" w:hAnsi="Cambria Math" w:cs="宋体"/>
                <w:i/>
                <w:color w:val="000000"/>
                <w:kern w:val="0"/>
                <w:lang w:bidi="ar"/>
              </w:rPr>
            </m:ctrlPr>
          </m:sub>
        </m:sSub>
        <m:r>
          <m:rPr/>
          <w:rPr>
            <w:rFonts w:ascii="Cambria Math" w:cs="宋体"/>
            <w:color w:val="000000"/>
            <w:kern w:val="0"/>
            <w:lang w:bidi="ar"/>
          </w:rPr>
          <m:t>×1</m:t>
        </m:r>
        <m:sSup>
          <m:sSupPr>
            <m:ctrlPr>
              <w:rPr>
                <w:rFonts w:ascii="Cambria Math" w:hAnsi="Cambria Math" w:cs="宋体"/>
                <w:i/>
                <w:color w:val="000000"/>
                <w:kern w:val="0"/>
                <w:lang w:bidi="ar"/>
              </w:rPr>
            </m:ctrlPr>
          </m:sSupPr>
          <m:e>
            <m:r>
              <m:rPr/>
              <w:rPr>
                <w:rFonts w:ascii="Cambria Math" w:cs="宋体"/>
                <w:color w:val="000000"/>
                <w:kern w:val="0"/>
                <w:lang w:bidi="ar"/>
              </w:rPr>
              <m:t>0</m:t>
            </m:r>
            <m:ctrlPr>
              <w:rPr>
                <w:rFonts w:ascii="Cambria Math" w:hAnsi="Cambria Math" w:cs="宋体"/>
                <w:i/>
                <w:color w:val="000000"/>
                <w:kern w:val="0"/>
                <w:lang w:bidi="ar"/>
              </w:rPr>
            </m:ctrlPr>
          </m:e>
          <m:sup>
            <m:r>
              <m:rPr/>
              <w:rPr>
                <w:rFonts w:hint="eastAsia" w:ascii="微软雅黑" w:hAnsi="微软雅黑" w:eastAsia="微软雅黑" w:cs="微软雅黑"/>
                <w:color w:val="000000"/>
                <w:kern w:val="0"/>
                <w:lang w:bidi="ar"/>
              </w:rPr>
              <m:t>−</m:t>
            </m:r>
            <m:r>
              <m:rPr/>
              <w:rPr>
                <w:rFonts w:ascii="Cambria Math" w:cs="宋体"/>
                <w:color w:val="000000"/>
                <w:kern w:val="0"/>
                <w:lang w:bidi="ar"/>
              </w:rPr>
              <m:t>3</m:t>
            </m:r>
            <m:ctrlPr>
              <w:rPr>
                <w:rFonts w:ascii="Cambria Math" w:hAnsi="Cambria Math" w:cs="宋体"/>
                <w:i/>
                <w:color w:val="000000"/>
                <w:kern w:val="0"/>
                <w:lang w:bidi="ar"/>
              </w:rPr>
            </m:ctrlPr>
          </m:sup>
        </m:sSup>
      </m:oMath>
      <w:bookmarkEnd w:id="72"/>
      <w:r>
        <w:rPr>
          <w:rFonts w:ascii="微软雅黑" w:hAnsi="微软雅黑" w:eastAsia="微软雅黑"/>
        </w:rPr>
        <w:tab/>
      </w:r>
      <w:r>
        <w:t>(</w:t>
      </w:r>
      <w:r>
        <w:rPr>
          <w:rFonts w:hint="eastAsia"/>
        </w:rPr>
        <w:t>4</w:t>
      </w:r>
      <w:r>
        <w:t>)</w:t>
      </w:r>
    </w:p>
    <w:p w14:paraId="28527947">
      <w:pPr>
        <w:pStyle w:val="55"/>
        <w:ind w:firstLine="420"/>
      </w:pPr>
      <w:r>
        <w:rPr>
          <w:rFonts w:hint="eastAsia"/>
        </w:rPr>
        <w:t>式中：</w:t>
      </w:r>
    </w:p>
    <w:p w14:paraId="7F03625E">
      <w:pPr>
        <w:snapToGrid w:val="0"/>
        <w:spacing w:line="240" w:lineRule="auto"/>
        <w:ind w:firstLine="420" w:firstLineChars="200"/>
        <w:rPr>
          <w:rFonts w:hint="eastAsia" w:ascii="宋体" w:hAnsi="宋体"/>
          <w:kern w:val="44"/>
        </w:rPr>
      </w:pPr>
      <m:oMath>
        <m:sSub>
          <w:bookmarkStart w:id="73" w:name="_Hlk234914809"/>
          <m:sSubPr>
            <m:ctrlPr>
              <w:rPr>
                <w:rFonts w:ascii="Cambria Math" w:hAnsi="宋体" w:cs="宋体"/>
                <w:i/>
                <w:color w:val="000000"/>
                <w:kern w:val="0"/>
                <w:lang w:bidi="ar"/>
              </w:rPr>
            </m:ctrlPr>
          </m:sSubPr>
          <m:e>
            <m:r>
              <m:rPr/>
              <w:rPr>
                <w:rFonts w:ascii="Cambria Math" w:cs="宋体"/>
                <w:color w:val="000000"/>
                <w:kern w:val="0"/>
                <w:lang w:bidi="ar"/>
              </w:rPr>
              <m:t>C</m:t>
            </m:r>
            <m:ctrlPr>
              <w:rPr>
                <w:rFonts w:ascii="Cambria Math" w:hAnsi="宋体" w:cs="宋体"/>
                <w:i/>
                <w:color w:val="000000"/>
                <w:kern w:val="0"/>
                <w:lang w:bidi="ar"/>
              </w:rPr>
            </m:ctrlPr>
          </m:e>
          <m:sub>
            <m:r>
              <m:rPr/>
              <w:rPr>
                <w:rFonts w:hint="eastAsia" w:ascii="Cambria Math" w:cs="宋体"/>
                <w:color w:val="000000"/>
                <w:kern w:val="0"/>
                <w:lang w:bidi="ar"/>
              </w:rPr>
              <m:t>wwpt</m:t>
            </m:r>
            <m:r>
              <m:rPr/>
              <w:rPr>
                <w:rFonts w:ascii="Cambria Math" w:cs="宋体"/>
                <w:color w:val="000000"/>
                <w:kern w:val="0"/>
                <w:lang w:bidi="ar"/>
              </w:rPr>
              <m:t>−</m:t>
            </m:r>
            <m:r>
              <m:rPr/>
              <w:rPr>
                <w:rFonts w:hint="eastAsia" w:ascii="Cambria Math" w:cs="宋体"/>
                <w:color w:val="000000"/>
                <w:kern w:val="0"/>
                <w:lang w:bidi="ar"/>
              </w:rPr>
              <m:t>p</m:t>
            </m:r>
            <m:ctrlPr>
              <w:rPr>
                <w:rFonts w:ascii="Cambria Math" w:hAnsi="宋体" w:cs="宋体"/>
                <w:i/>
                <w:color w:val="000000"/>
                <w:kern w:val="0"/>
                <w:lang w:bidi="ar"/>
              </w:rPr>
            </m:ctrlPr>
          </m:sub>
        </m:sSub>
      </m:oMath>
      <w:r>
        <w:rPr>
          <w:rFonts w:hint="eastAsia" w:ascii="宋体" w:hAnsi="宋体"/>
          <w:color w:val="333333"/>
        </w:rPr>
        <w:t>——</w:t>
      </w:r>
      <w:r>
        <w:rPr>
          <w:rFonts w:ascii="宋体" w:hAnsi="宋体"/>
          <w:kern w:val="44"/>
        </w:rPr>
        <w:t>可使用碳源量，kg</w:t>
      </w:r>
      <w:r>
        <w:rPr>
          <w:rFonts w:hint="eastAsia" w:ascii="宋体" w:hAnsi="宋体"/>
          <w:kern w:val="44"/>
        </w:rPr>
        <w:t xml:space="preserve"> B</w:t>
      </w:r>
      <w:r>
        <w:rPr>
          <w:rFonts w:ascii="宋体" w:hAnsi="宋体"/>
          <w:kern w:val="44"/>
        </w:rPr>
        <w:t>OD</w:t>
      </w:r>
      <w:r>
        <w:rPr>
          <w:rFonts w:hint="eastAsia" w:ascii="宋体" w:hAnsi="宋体"/>
          <w:kern w:val="44"/>
          <w:vertAlign w:val="subscript"/>
        </w:rPr>
        <w:t>5</w:t>
      </w:r>
      <w:r>
        <w:rPr>
          <w:rFonts w:ascii="宋体" w:hAnsi="宋体"/>
          <w:kern w:val="44"/>
        </w:rPr>
        <w:t>；</w:t>
      </w:r>
    </w:p>
    <w:p w14:paraId="600824B4">
      <w:pPr>
        <w:snapToGrid w:val="0"/>
        <w:spacing w:line="240" w:lineRule="auto"/>
        <w:ind w:firstLine="420" w:firstLineChars="200"/>
        <w:rPr>
          <w:rFonts w:hint="eastAsia" w:ascii="宋体" w:hAnsi="宋体"/>
          <w:kern w:val="44"/>
        </w:rPr>
      </w:pPr>
      <m:oMath>
        <m:sSub>
          <m:sSubPr>
            <m:ctrlPr>
              <w:rPr>
                <w:rFonts w:ascii="Cambria Math" w:hAnsi="宋体" w:cs="宋体"/>
                <w:i/>
                <w:color w:val="000000"/>
                <w:kern w:val="0"/>
                <w:lang w:bidi="ar"/>
              </w:rPr>
            </m:ctrlPr>
          </m:sSubPr>
          <m:e>
            <m:r>
              <m:rPr/>
              <w:rPr>
                <w:rFonts w:ascii="Cambria Math" w:cs="宋体"/>
                <w:color w:val="000000"/>
                <w:kern w:val="0"/>
                <w:lang w:bidi="ar"/>
              </w:rPr>
              <m:t>C</m:t>
            </m:r>
            <m:ctrlPr>
              <w:rPr>
                <w:rFonts w:ascii="Cambria Math" w:hAnsi="宋体" w:cs="宋体"/>
                <w:i/>
                <w:color w:val="000000"/>
                <w:kern w:val="0"/>
                <w:lang w:bidi="ar"/>
              </w:rPr>
            </m:ctrlPr>
          </m:e>
          <m:sub>
            <m:r>
              <m:rPr/>
              <w:rPr>
                <w:rFonts w:hint="eastAsia" w:ascii="Cambria Math" w:cs="宋体"/>
                <w:color w:val="000000"/>
                <w:kern w:val="0"/>
                <w:lang w:bidi="ar"/>
              </w:rPr>
              <m:t>wwpt</m:t>
            </m:r>
            <m:r>
              <m:rPr/>
              <w:rPr>
                <w:rFonts w:ascii="Cambria Math" w:cs="宋体"/>
                <w:color w:val="000000"/>
                <w:kern w:val="0"/>
                <w:lang w:bidi="ar"/>
              </w:rPr>
              <m:t>−in,BO</m:t>
            </m:r>
            <m:sSub>
              <m:sSubPr>
                <m:ctrlPr>
                  <w:rPr>
                    <w:rFonts w:ascii="Cambria Math" w:hAnsi="Cambria Math" w:cs="宋体"/>
                    <w:i/>
                    <w:color w:val="000000"/>
                    <w:kern w:val="0"/>
                    <w:lang w:bidi="ar"/>
                  </w:rPr>
                </m:ctrlPr>
              </m:sSubPr>
              <m:e>
                <m:r>
                  <m:rPr/>
                  <w:rPr>
                    <w:rFonts w:ascii="Cambria Math" w:cs="宋体"/>
                    <w:color w:val="000000"/>
                    <w:kern w:val="0"/>
                    <w:lang w:bidi="ar"/>
                  </w:rPr>
                  <m:t>D</m:t>
                </m:r>
                <m:ctrlPr>
                  <w:rPr>
                    <w:rFonts w:ascii="Cambria Math" w:hAnsi="Cambria Math" w:cs="宋体"/>
                    <w:i/>
                    <w:color w:val="000000"/>
                    <w:kern w:val="0"/>
                    <w:lang w:bidi="ar"/>
                  </w:rPr>
                </m:ctrlPr>
              </m:e>
              <m:sub>
                <m:r>
                  <m:rPr/>
                  <w:rPr>
                    <w:rFonts w:ascii="Cambria Math" w:cs="宋体"/>
                    <w:color w:val="000000"/>
                    <w:kern w:val="0"/>
                    <w:lang w:bidi="ar"/>
                  </w:rPr>
                  <m:t>5</m:t>
                </m:r>
                <m:ctrlPr>
                  <w:rPr>
                    <w:rFonts w:ascii="Cambria Math" w:hAnsi="Cambria Math" w:cs="宋体"/>
                    <w:i/>
                    <w:color w:val="000000"/>
                    <w:kern w:val="0"/>
                    <w:lang w:bidi="ar"/>
                  </w:rPr>
                </m:ctrlPr>
              </m:sub>
            </m:sSub>
            <m:ctrlPr>
              <w:rPr>
                <w:rFonts w:ascii="Cambria Math" w:hAnsi="宋体" w:cs="宋体"/>
                <w:i/>
                <w:color w:val="000000"/>
                <w:kern w:val="0"/>
                <w:lang w:bidi="ar"/>
              </w:rPr>
            </m:ctrlPr>
          </m:sub>
        </m:sSub>
      </m:oMath>
      <w:r>
        <w:rPr>
          <w:rFonts w:hint="eastAsia" w:ascii="宋体" w:hAnsi="宋体"/>
          <w:color w:val="333333"/>
        </w:rPr>
        <w:t>——</w:t>
      </w:r>
      <w:r>
        <w:rPr>
          <w:rFonts w:ascii="宋体" w:hAnsi="宋体"/>
          <w:kern w:val="44"/>
        </w:rPr>
        <w:t>生物处理工艺进水</w:t>
      </w:r>
      <w:r>
        <w:rPr>
          <w:rFonts w:hint="eastAsia" w:ascii="宋体" w:hAnsi="宋体"/>
          <w:kern w:val="44"/>
        </w:rPr>
        <w:t>B</w:t>
      </w:r>
      <w:r>
        <w:rPr>
          <w:rFonts w:ascii="宋体" w:hAnsi="宋体"/>
          <w:kern w:val="44"/>
        </w:rPr>
        <w:t>OD</w:t>
      </w:r>
      <w:r>
        <w:rPr>
          <w:rFonts w:hint="eastAsia" w:ascii="宋体" w:hAnsi="宋体"/>
          <w:kern w:val="44"/>
          <w:vertAlign w:val="subscript"/>
        </w:rPr>
        <w:t>5</w:t>
      </w:r>
      <w:r>
        <w:rPr>
          <w:rFonts w:ascii="宋体" w:hAnsi="宋体"/>
          <w:kern w:val="44"/>
        </w:rPr>
        <w:t>浓度，mg/L</w:t>
      </w:r>
      <w:r>
        <w:rPr>
          <w:rFonts w:hint="eastAsia" w:ascii="宋体" w:hAnsi="宋体"/>
          <w:kern w:val="44"/>
        </w:rPr>
        <w:t>；</w:t>
      </w:r>
    </w:p>
    <w:p w14:paraId="655A5B37">
      <w:pPr>
        <w:snapToGrid w:val="0"/>
        <w:spacing w:line="240" w:lineRule="auto"/>
        <w:ind w:firstLine="420" w:firstLineChars="200"/>
        <w:rPr>
          <w:rFonts w:hint="eastAsia" w:ascii="宋体" w:hAnsi="宋体"/>
          <w:kern w:val="44"/>
        </w:rPr>
      </w:pPr>
      <m:oMath>
        <m:sSub>
          <m:sSubPr>
            <m:ctrlPr>
              <w:rPr>
                <w:rFonts w:ascii="Cambria Math" w:hAnsi="宋体"/>
                <w:i/>
              </w:rPr>
            </m:ctrlPr>
          </m:sSubPr>
          <m:e>
            <m:r>
              <m:rPr/>
              <w:rPr>
                <w:rFonts w:ascii="Cambria Math"/>
              </w:rPr>
              <m:t>Q</m:t>
            </m:r>
            <m:ctrlPr>
              <w:rPr>
                <w:rFonts w:ascii="Cambria Math" w:hAnsi="宋体"/>
                <w:i/>
              </w:rPr>
            </m:ctrlPr>
          </m:e>
          <m:sub>
            <m:r>
              <m:rPr/>
              <w:rPr>
                <w:rFonts w:hint="eastAsia" w:ascii="Cambria Math"/>
              </w:rPr>
              <m:t>wwpt</m:t>
            </m:r>
            <m:ctrlPr>
              <w:rPr>
                <w:rFonts w:ascii="Cambria Math" w:hAnsi="宋体"/>
                <w:i/>
              </w:rPr>
            </m:ctrlPr>
          </m:sub>
        </m:sSub>
      </m:oMath>
      <w:r>
        <w:rPr>
          <w:rFonts w:hint="eastAsia" w:ascii="宋体" w:hAnsi="宋体"/>
          <w:kern w:val="44"/>
        </w:rPr>
        <w:t>见公式（1）。</w:t>
      </w:r>
    </w:p>
    <w:bookmarkEnd w:id="73"/>
    <w:p w14:paraId="4749A6DF">
      <w:pPr>
        <w:pStyle w:val="174"/>
      </w:pPr>
      <w:r>
        <w:rPr>
          <w:rFonts w:hint="eastAsia"/>
        </w:rPr>
        <w:t>碳源需求的判断</w:t>
      </w:r>
    </w:p>
    <w:p w14:paraId="6FE67DE2">
      <w:pPr>
        <w:pStyle w:val="56"/>
        <w:ind w:firstLine="420"/>
        <w:rPr>
          <w:rFonts w:hint="eastAsia" w:hAnsi="宋体"/>
          <w:kern w:val="44"/>
          <w:szCs w:val="21"/>
        </w:rPr>
      </w:pPr>
      <w:r>
        <w:rPr>
          <w:rFonts w:hint="eastAsia"/>
        </w:rPr>
        <w:t>污水集中处理设施碳源需求按公式（5）判断，公式成立时，</w:t>
      </w:r>
      <w:r>
        <w:rPr>
          <w:rFonts w:hint="eastAsia" w:hAnsi="宋体"/>
          <w:kern w:val="44"/>
          <w:szCs w:val="21"/>
        </w:rPr>
        <w:t>判定污水集中处理设施需要外加碳源以满足脱氮的需要。</w:t>
      </w:r>
    </w:p>
    <w:p w14:paraId="18F41F5D">
      <w:pPr>
        <w:pStyle w:val="113"/>
        <w:rPr>
          <w:rFonts w:hint="eastAsia"/>
        </w:rPr>
      </w:pPr>
      <w:r>
        <w:rPr>
          <w:rFonts w:hint="eastAsia"/>
        </w:rPr>
        <w:tab/>
      </w:r>
      <m:oMath>
        <w:bookmarkStart w:id="74" w:name="_Hlk234914912"/>
        <m:r>
          <m:rPr>
            <m:sty m:val="p"/>
          </m:rPr>
          <w:rPr>
            <w:rFonts w:ascii="Cambria Math" w:hAnsi="Cambria Math"/>
          </w:rPr>
          <m:t>(</m:t>
        </m:r>
        <m:sSub>
          <m:sSubPr>
            <m:ctrlPr>
              <w:rPr>
                <w:rFonts w:ascii="Cambria Math" w:hAnsi="Cambria Math" w:cs="宋体"/>
                <w:i/>
                <w:color w:val="000000"/>
                <w:kern w:val="0"/>
                <w:lang w:bidi="ar"/>
              </w:rPr>
            </m:ctrlPr>
          </m:sSubPr>
          <m:e>
            <m:r>
              <m:rPr/>
              <w:rPr>
                <w:rFonts w:ascii="Cambria Math" w:cs="宋体"/>
                <w:color w:val="000000"/>
                <w:kern w:val="0"/>
                <w:lang w:bidi="ar"/>
              </w:rPr>
              <m:t>C</m:t>
            </m:r>
            <m:ctrlPr>
              <w:rPr>
                <w:rFonts w:ascii="Cambria Math" w:hAnsi="Cambria Math" w:cs="宋体"/>
                <w:i/>
                <w:color w:val="000000"/>
                <w:kern w:val="0"/>
                <w:lang w:bidi="ar"/>
              </w:rPr>
            </m:ctrlPr>
          </m:e>
          <m:sub>
            <m:r>
              <m:rPr/>
              <w:rPr>
                <w:rFonts w:hint="eastAsia" w:ascii="Cambria Math" w:cs="宋体"/>
                <w:color w:val="000000"/>
                <w:kern w:val="0"/>
                <w:lang w:bidi="ar"/>
              </w:rPr>
              <m:t>wwpt</m:t>
            </m:r>
            <m:r>
              <m:rPr/>
              <w:rPr>
                <w:rFonts w:ascii="Cambria Math" w:cs="宋体"/>
                <w:color w:val="000000"/>
                <w:kern w:val="0"/>
                <w:lang w:bidi="ar"/>
              </w:rPr>
              <m:t>−</m:t>
            </m:r>
            <m:r>
              <m:rPr/>
              <w:rPr>
                <w:rFonts w:hint="eastAsia" w:ascii="Cambria Math" w:cs="宋体"/>
                <w:color w:val="000000"/>
                <w:kern w:val="0"/>
                <w:lang w:bidi="ar"/>
              </w:rPr>
              <m:t>t</m:t>
            </m:r>
            <m:ctrlPr>
              <w:rPr>
                <w:rFonts w:ascii="Cambria Math" w:hAnsi="Cambria Math" w:cs="宋体"/>
                <w:i/>
                <w:color w:val="000000"/>
                <w:kern w:val="0"/>
                <w:lang w:bidi="ar"/>
              </w:rPr>
            </m:ctrlPr>
          </m:sub>
        </m:sSub>
        <m:r>
          <m:rPr/>
          <w:rPr>
            <w:rFonts w:hint="eastAsia" w:ascii="微软雅黑" w:hAnsi="微软雅黑" w:eastAsia="微软雅黑" w:cs="微软雅黑"/>
            <w:kern w:val="44"/>
          </w:rPr>
          <m:t>−</m:t>
        </m:r>
        <m:sSub>
          <m:sSubPr>
            <m:ctrlPr>
              <w:rPr>
                <w:rFonts w:ascii="Cambria Math" w:hAnsi="Cambria Math" w:cs="宋体"/>
                <w:i/>
                <w:color w:val="000000"/>
                <w:kern w:val="0"/>
                <w:lang w:bidi="ar"/>
              </w:rPr>
            </m:ctrlPr>
          </m:sSubPr>
          <m:e>
            <m:r>
              <m:rPr/>
              <w:rPr>
                <w:rFonts w:ascii="Cambria Math" w:cs="宋体"/>
                <w:color w:val="000000"/>
                <w:kern w:val="0"/>
                <w:lang w:bidi="ar"/>
              </w:rPr>
              <m:t>C</m:t>
            </m:r>
            <m:ctrlPr>
              <w:rPr>
                <w:rFonts w:ascii="Cambria Math" w:hAnsi="Cambria Math" w:cs="宋体"/>
                <w:i/>
                <w:color w:val="000000"/>
                <w:kern w:val="0"/>
                <w:lang w:bidi="ar"/>
              </w:rPr>
            </m:ctrlPr>
          </m:e>
          <m:sub>
            <m:r>
              <m:rPr/>
              <w:rPr>
                <w:rFonts w:hint="eastAsia" w:ascii="Cambria Math" w:cs="宋体"/>
                <w:color w:val="000000"/>
                <w:kern w:val="0"/>
                <w:lang w:bidi="ar"/>
              </w:rPr>
              <m:t>wwpt</m:t>
            </m:r>
            <m:r>
              <m:rPr/>
              <w:rPr>
                <w:rFonts w:ascii="Cambria Math" w:cs="宋体"/>
                <w:color w:val="000000"/>
                <w:kern w:val="0"/>
                <w:lang w:bidi="ar"/>
              </w:rPr>
              <m:t>−</m:t>
            </m:r>
            <m:r>
              <m:rPr/>
              <w:rPr>
                <w:rFonts w:hint="eastAsia" w:ascii="Cambria Math" w:cs="宋体"/>
                <w:color w:val="000000"/>
                <w:kern w:val="0"/>
                <w:lang w:bidi="ar"/>
              </w:rPr>
              <m:t>p</m:t>
            </m:r>
            <m:ctrlPr>
              <w:rPr>
                <w:rFonts w:ascii="Cambria Math" w:hAnsi="Cambria Math" w:cs="宋体"/>
                <w:i/>
                <w:color w:val="000000"/>
                <w:kern w:val="0"/>
                <w:lang w:bidi="ar"/>
              </w:rPr>
            </m:ctrlPr>
          </m:sub>
        </m:sSub>
        <m:r>
          <m:rPr>
            <m:sty m:val="p"/>
          </m:rPr>
          <w:rPr>
            <w:rFonts w:ascii="Cambria Math"/>
            <w:kern w:val="44"/>
          </w:rPr>
          <m:t>)</m:t>
        </m:r>
        <m:r>
          <m:rPr/>
          <w:rPr>
            <w:rFonts w:ascii="Cambria Math"/>
            <w:kern w:val="44"/>
          </w:rPr>
          <m:t>/</m:t>
        </m:r>
        <m:sSub>
          <m:sSubPr>
            <m:ctrlPr>
              <w:rPr>
                <w:rFonts w:ascii="Cambria Math" w:hAnsi="Cambria Math" w:cs="宋体"/>
                <w:i/>
                <w:color w:val="000000"/>
                <w:kern w:val="0"/>
                <w:lang w:bidi="ar"/>
              </w:rPr>
            </m:ctrlPr>
          </m:sSubPr>
          <m:e>
            <m:r>
              <m:rPr/>
              <w:rPr>
                <w:rFonts w:ascii="Cambria Math" w:cs="宋体"/>
                <w:color w:val="000000"/>
                <w:kern w:val="0"/>
                <w:lang w:bidi="ar"/>
              </w:rPr>
              <m:t>C</m:t>
            </m:r>
            <m:ctrlPr>
              <w:rPr>
                <w:rFonts w:ascii="Cambria Math" w:hAnsi="Cambria Math" w:cs="宋体"/>
                <w:i/>
                <w:color w:val="000000"/>
                <w:kern w:val="0"/>
                <w:lang w:bidi="ar"/>
              </w:rPr>
            </m:ctrlPr>
          </m:e>
          <m:sub>
            <m:r>
              <m:rPr/>
              <w:rPr>
                <w:rFonts w:hint="eastAsia" w:ascii="Cambria Math" w:cs="宋体"/>
                <w:color w:val="000000"/>
                <w:kern w:val="0"/>
                <w:lang w:bidi="ar"/>
              </w:rPr>
              <m:t>wwpt</m:t>
            </m:r>
            <m:r>
              <m:rPr/>
              <w:rPr>
                <w:rFonts w:ascii="Cambria Math" w:cs="宋体"/>
                <w:color w:val="000000"/>
                <w:kern w:val="0"/>
                <w:lang w:bidi="ar"/>
              </w:rPr>
              <m:t>−</m:t>
            </m:r>
            <m:r>
              <m:rPr/>
              <w:rPr>
                <w:rFonts w:hint="eastAsia" w:ascii="Cambria Math" w:cs="宋体"/>
                <w:color w:val="000000"/>
                <w:kern w:val="0"/>
                <w:lang w:bidi="ar"/>
              </w:rPr>
              <m:t>p</m:t>
            </m:r>
            <m:ctrlPr>
              <w:rPr>
                <w:rFonts w:ascii="Cambria Math" w:hAnsi="Cambria Math" w:cs="宋体"/>
                <w:i/>
                <w:color w:val="000000"/>
                <w:kern w:val="0"/>
                <w:lang w:bidi="ar"/>
              </w:rPr>
            </m:ctrlPr>
          </m:sub>
        </m:sSub>
        <m:r>
          <m:rPr/>
          <w:rPr>
            <w:rFonts w:ascii="Cambria Math"/>
            <w:kern w:val="44"/>
          </w:rPr>
          <m:t>×100%≥5%</m:t>
        </m:r>
      </m:oMath>
      <w:bookmarkEnd w:id="74"/>
      <w:r>
        <w:rPr>
          <w:rFonts w:hint="eastAsia" w:ascii="微软雅黑" w:hAnsi="微软雅黑" w:eastAsia="微软雅黑"/>
        </w:rPr>
        <w:tab/>
      </w:r>
      <w:r>
        <w:rPr>
          <w:rFonts w:hint="eastAsia"/>
        </w:rPr>
        <w:t>(5)</w:t>
      </w:r>
    </w:p>
    <w:p w14:paraId="40316F0C">
      <w:pPr>
        <w:pStyle w:val="55"/>
        <w:ind w:firstLine="420"/>
      </w:pPr>
      <w:r>
        <w:rPr>
          <w:rFonts w:hint="eastAsia"/>
        </w:rPr>
        <w:t>式中：</w:t>
      </w:r>
    </w:p>
    <w:p w14:paraId="5A73EDC6">
      <w:pPr>
        <w:pStyle w:val="174"/>
        <w:numPr>
          <w:ilvl w:val="0"/>
          <w:numId w:val="0"/>
        </w:numPr>
        <w:snapToGrid w:val="0"/>
        <w:ind w:left="425"/>
        <w:rPr>
          <w:rFonts w:hint="eastAsia" w:hAnsi="宋体"/>
          <w:kern w:val="44"/>
          <w:szCs w:val="21"/>
        </w:rPr>
      </w:pPr>
      <m:oMath>
        <m:sSub>
          <m:sSubPr>
            <m:ctrlPr>
              <w:rPr>
                <w:rFonts w:ascii="Cambria Math" w:hAnsi="宋体" w:cs="宋体"/>
                <w:i/>
                <w:color w:val="000000"/>
                <w:szCs w:val="21"/>
                <w:lang w:bidi="ar"/>
              </w:rPr>
            </m:ctrlPr>
          </m:sSubPr>
          <m:e>
            <m:r>
              <m:rPr/>
              <w:rPr>
                <w:rFonts w:ascii="Cambria Math" w:cs="宋体"/>
                <w:color w:val="000000"/>
                <w:lang w:bidi="ar"/>
              </w:rPr>
              <m:t>C</m:t>
            </m:r>
            <m:ctrlPr>
              <w:rPr>
                <w:rFonts w:ascii="Cambria Math" w:hAnsi="宋体" w:cs="宋体"/>
                <w:i/>
                <w:color w:val="000000"/>
                <w:szCs w:val="21"/>
                <w:lang w:bidi="ar"/>
              </w:rPr>
            </m:ctrlPr>
          </m:e>
          <m:sub>
            <m:r>
              <m:rPr/>
              <w:rPr>
                <w:rFonts w:hint="eastAsia" w:ascii="Cambria Math" w:cs="宋体"/>
                <w:color w:val="000000"/>
                <w:lang w:bidi="ar"/>
              </w:rPr>
              <m:t>wwpt</m:t>
            </m:r>
            <m:r>
              <m:rPr/>
              <w:rPr>
                <w:rFonts w:ascii="Cambria Math" w:cs="宋体"/>
                <w:color w:val="000000"/>
                <w:lang w:bidi="ar"/>
              </w:rPr>
              <m:t>−</m:t>
            </m:r>
            <m:r>
              <m:rPr/>
              <w:rPr>
                <w:rFonts w:hint="eastAsia" w:ascii="Cambria Math" w:cs="宋体"/>
                <w:color w:val="000000"/>
                <w:lang w:bidi="ar"/>
              </w:rPr>
              <m:t>t</m:t>
            </m:r>
            <m:ctrlPr>
              <w:rPr>
                <w:rFonts w:ascii="Cambria Math" w:hAnsi="宋体" w:cs="宋体"/>
                <w:i/>
                <w:color w:val="000000"/>
                <w:szCs w:val="21"/>
                <w:lang w:bidi="ar"/>
              </w:rPr>
            </m:ctrlPr>
          </m:sub>
        </m:sSub>
      </m:oMath>
      <w:r>
        <w:rPr>
          <w:rFonts w:hint="eastAsia" w:hAnsi="宋体"/>
          <w:color w:val="000000"/>
          <w:szCs w:val="21"/>
          <w:lang w:bidi="ar"/>
        </w:rPr>
        <w:t>、</w:t>
      </w:r>
      <m:oMath>
        <m:sSub>
          <m:sSubPr>
            <m:ctrlPr>
              <w:rPr>
                <w:rFonts w:ascii="Cambria Math" w:hAnsi="宋体" w:cs="宋体"/>
                <w:i/>
                <w:color w:val="000000"/>
                <w:szCs w:val="21"/>
                <w:lang w:bidi="ar"/>
              </w:rPr>
            </m:ctrlPr>
          </m:sSubPr>
          <m:e>
            <m:r>
              <m:rPr/>
              <w:rPr>
                <w:rFonts w:ascii="Cambria Math" w:cs="宋体"/>
                <w:color w:val="000000"/>
                <w:lang w:bidi="ar"/>
              </w:rPr>
              <m:t>C</m:t>
            </m:r>
            <m:ctrlPr>
              <w:rPr>
                <w:rFonts w:ascii="Cambria Math" w:hAnsi="宋体" w:cs="宋体"/>
                <w:i/>
                <w:color w:val="000000"/>
                <w:szCs w:val="21"/>
                <w:lang w:bidi="ar"/>
              </w:rPr>
            </m:ctrlPr>
          </m:e>
          <m:sub>
            <m:r>
              <m:rPr/>
              <w:rPr>
                <w:rFonts w:hint="eastAsia" w:ascii="Cambria Math" w:cs="宋体"/>
                <w:color w:val="000000"/>
                <w:lang w:bidi="ar"/>
              </w:rPr>
              <m:t>wwpt</m:t>
            </m:r>
            <m:r>
              <m:rPr/>
              <w:rPr>
                <w:rFonts w:ascii="Cambria Math" w:cs="宋体"/>
                <w:color w:val="000000"/>
                <w:lang w:bidi="ar"/>
              </w:rPr>
              <m:t>−</m:t>
            </m:r>
            <m:r>
              <m:rPr/>
              <w:rPr>
                <w:rFonts w:hint="eastAsia" w:ascii="Cambria Math" w:cs="宋体"/>
                <w:color w:val="000000"/>
                <w:lang w:bidi="ar"/>
              </w:rPr>
              <m:t>p</m:t>
            </m:r>
            <m:ctrlPr>
              <w:rPr>
                <w:rFonts w:ascii="Cambria Math" w:hAnsi="宋体" w:cs="宋体"/>
                <w:i/>
                <w:color w:val="000000"/>
                <w:szCs w:val="21"/>
                <w:lang w:bidi="ar"/>
              </w:rPr>
            </m:ctrlPr>
          </m:sub>
        </m:sSub>
      </m:oMath>
      <w:r>
        <w:rPr>
          <w:rFonts w:hint="eastAsia" w:hAnsi="宋体"/>
          <w:color w:val="000000"/>
          <w:szCs w:val="21"/>
          <w:lang w:bidi="ar"/>
        </w:rPr>
        <w:t>分别见公式（3）和公式（4）。</w:t>
      </w:r>
    </w:p>
    <w:p w14:paraId="2C75A67D">
      <w:pPr>
        <w:pStyle w:val="104"/>
        <w:shd w:val="clear" w:color="000000" w:fill="auto"/>
        <w:spacing w:before="312" w:after="312"/>
        <w:rPr>
          <w:rFonts w:ascii="Times New Roman"/>
        </w:rPr>
      </w:pPr>
      <w:bookmarkStart w:id="75" w:name="_Toc22139"/>
      <w:bookmarkStart w:id="76" w:name="_Toc234580204"/>
      <w:r>
        <w:rPr>
          <w:rFonts w:hint="eastAsia" w:ascii="Times New Roman"/>
        </w:rPr>
        <w:t>风险管控</w:t>
      </w:r>
      <w:bookmarkEnd w:id="75"/>
      <w:r>
        <w:rPr>
          <w:rFonts w:hint="eastAsia" w:ascii="Times New Roman"/>
        </w:rPr>
        <w:t>与评估</w:t>
      </w:r>
      <w:bookmarkEnd w:id="76"/>
    </w:p>
    <w:p w14:paraId="52576105">
      <w:pPr>
        <w:pStyle w:val="105"/>
        <w:spacing w:before="156" w:after="156"/>
      </w:pPr>
      <w:r>
        <w:rPr>
          <w:rFonts w:hint="eastAsia"/>
        </w:rPr>
        <w:t>风险管控</w:t>
      </w:r>
    </w:p>
    <w:p w14:paraId="40B5414A">
      <w:pPr>
        <w:pStyle w:val="56"/>
        <w:ind w:firstLine="420"/>
      </w:pPr>
      <w:r>
        <w:rPr>
          <w:rFonts w:hint="eastAsia"/>
        </w:rPr>
        <w:t>根据工业企业和污水集中处理设施执行的国家或地方水污染物排放标准，以及行业水污染物排放特征，确定分类管控的污染物清单。</w:t>
      </w:r>
    </w:p>
    <w:p w14:paraId="6DB1E0BE">
      <w:pPr>
        <w:pStyle w:val="132"/>
      </w:pPr>
      <w:bookmarkStart w:id="77" w:name="_Hlk234914936"/>
      <w:r>
        <w:rPr>
          <w:rFonts w:hint="eastAsia"/>
        </w:rPr>
        <w:t>废水碳源综合利用过程中涉及排放标准中允许协商排放的污染物，污水集中处理设施应评估自身工艺运行现状，确保废水碳源综合利用实施后出水水质满足现行排放标准要求，且污染物排放量不超过许可总量；</w:t>
      </w:r>
    </w:p>
    <w:p w14:paraId="5B18A9DD">
      <w:pPr>
        <w:pStyle w:val="132"/>
        <w:jc w:val="both"/>
      </w:pPr>
      <w:r>
        <w:rPr>
          <w:rFonts w:hint="eastAsia"/>
        </w:rPr>
        <w:t>废水碳源综合利用过程中涉及排放标准不允许协商排放的污染物以及通过“5.1水质全分析”后发现其他有毒有害物质、腐蚀性、病原微生物的，应开展预处理并达到排放标准要求后再开展碳源综合利用评估工作。</w:t>
      </w:r>
      <w:bookmarkEnd w:id="77"/>
    </w:p>
    <w:p w14:paraId="39959799">
      <w:pPr>
        <w:pStyle w:val="105"/>
        <w:spacing w:before="156" w:after="156"/>
      </w:pPr>
      <w:r>
        <w:rPr>
          <w:rFonts w:hint="eastAsia"/>
        </w:rPr>
        <w:t>风险评估</w:t>
      </w:r>
    </w:p>
    <w:p w14:paraId="3773D0F0">
      <w:pPr>
        <w:pStyle w:val="165"/>
      </w:pPr>
      <w:bookmarkStart w:id="78" w:name="_Hlk234914984"/>
      <w:r>
        <w:rPr>
          <w:rFonts w:hint="eastAsia"/>
        </w:rPr>
        <w:t>对于废水碳源综合利用过程中涉及的污染物，按公式（5）开展污水集中处理设施出口排放浓度折算：</w:t>
      </w:r>
    </w:p>
    <w:p w14:paraId="1201E965">
      <w:pPr>
        <w:pStyle w:val="113"/>
        <w:rPr>
          <w:rFonts w:hint="eastAsia"/>
        </w:rPr>
      </w:pPr>
      <w:r>
        <w:tab/>
      </w:r>
      <m:oMath>
        <m:sSub>
          <m:sSubPr>
            <m:ctrlPr>
              <w:rPr>
                <w:rFonts w:ascii="Cambria Math" w:hAnsi="Cambria Math"/>
                <w:i/>
              </w:rPr>
            </m:ctrlPr>
          </m:sSubPr>
          <m:e>
            <m:r>
              <m:rPr/>
              <w:rPr>
                <w:rFonts w:ascii="Cambria Math"/>
              </w:rPr>
              <m:t>C</m:t>
            </m:r>
            <m:ctrlPr>
              <w:rPr>
                <w:rFonts w:ascii="Cambria Math" w:hAnsi="Cambria Math"/>
                <w:i/>
              </w:rPr>
            </m:ctrlPr>
          </m:e>
          <m:sub>
            <m:r>
              <m:rPr/>
              <w:rPr>
                <w:rFonts w:hint="eastAsia" w:ascii="Cambria Math"/>
              </w:rPr>
              <m:t>wwpt</m:t>
            </m:r>
            <m:r>
              <m:rPr/>
              <w:rPr>
                <w:rFonts w:ascii="Cambria Math"/>
              </w:rPr>
              <m:t>,j−</m:t>
            </m:r>
            <m:r>
              <m:rPr>
                <m:sty m:val="p"/>
              </m:rPr>
              <w:rPr>
                <w:rFonts w:hint="eastAsia" w:ascii="Cambria Math"/>
              </w:rPr>
              <m:t>折算</m:t>
            </m:r>
            <m:ctrlPr>
              <w:rPr>
                <w:rFonts w:ascii="Cambria Math" w:hAnsi="Cambria Math"/>
                <w:i/>
              </w:rPr>
            </m:ctrlPr>
          </m:sub>
        </m:sSub>
        <m:r>
          <m:rPr/>
          <w:rPr>
            <w:rFonts w:ascii="Cambria Math"/>
          </w:rPr>
          <m:t>=</m:t>
        </m:r>
        <m:f>
          <m:fPr>
            <m:ctrlPr>
              <w:rPr>
                <w:rFonts w:ascii="Cambria Math" w:hAnsi="Cambria Math"/>
                <w:i/>
              </w:rPr>
            </m:ctrlPr>
          </m:fPr>
          <m:num>
            <m:nary>
              <m:naryPr>
                <m:chr m:val="∑"/>
                <m:ctrlPr>
                  <w:rPr>
                    <w:rFonts w:ascii="Cambria Math" w:hAnsi="Cambria Math"/>
                    <w:i/>
                  </w:rPr>
                </m:ctrlPr>
              </m:naryPr>
              <m:sub>
                <m:r>
                  <m:rPr/>
                  <w:rPr>
                    <w:rFonts w:ascii="Cambria Math"/>
                  </w:rPr>
                  <m:t>i=1</m:t>
                </m:r>
                <m:ctrlPr>
                  <w:rPr>
                    <w:rFonts w:ascii="Cambria Math" w:hAnsi="Cambria Math"/>
                    <w:i/>
                  </w:rPr>
                </m:ctrlPr>
              </m:sub>
              <m:sup>
                <m:r>
                  <m:rPr/>
                  <w:rPr>
                    <w:rFonts w:ascii="Cambria Math"/>
                  </w:rPr>
                  <m:t>m</m:t>
                </m:r>
                <m:ctrlPr>
                  <w:rPr>
                    <w:rFonts w:ascii="Cambria Math" w:hAnsi="Cambria Math"/>
                    <w:i/>
                  </w:rPr>
                </m:ctrlPr>
              </m:sup>
              <m:e>
                <m:r>
                  <m:rPr/>
                  <w:rPr>
                    <w:rFonts w:ascii="Cambria Math"/>
                  </w:rPr>
                  <m:t>(</m:t>
                </m:r>
                <m:sSub>
                  <m:sSubPr>
                    <m:ctrlPr>
                      <w:rPr>
                        <w:rFonts w:ascii="Cambria Math" w:hAnsi="Cambria Math"/>
                        <w:i/>
                      </w:rPr>
                    </m:ctrlPr>
                  </m:sSubPr>
                  <m:e>
                    <m:r>
                      <m:rPr/>
                      <w:rPr>
                        <w:rFonts w:ascii="Cambria Math"/>
                      </w:rPr>
                      <m:t>Q</m:t>
                    </m:r>
                    <m:ctrlPr>
                      <w:rPr>
                        <w:rFonts w:ascii="Cambria Math" w:hAnsi="Cambria Math"/>
                        <w:i/>
                      </w:rPr>
                    </m:ctrlPr>
                  </m:e>
                  <m:sub>
                    <m:r>
                      <m:rPr/>
                      <w:rPr>
                        <w:rFonts w:hint="eastAsia" w:ascii="Cambria Math"/>
                      </w:rPr>
                      <m:t>i</m:t>
                    </m:r>
                    <m:r>
                      <m:rPr/>
                      <w:rPr>
                        <w:rFonts w:ascii="Cambria Math"/>
                      </w:rPr>
                      <m:t>−</m:t>
                    </m:r>
                    <m:r>
                      <m:rPr>
                        <m:sty m:val="p"/>
                      </m:rPr>
                      <w:rPr>
                        <w:rFonts w:hint="eastAsia" w:ascii="Cambria Math"/>
                      </w:rPr>
                      <m:t>企业</m:t>
                    </m:r>
                    <m:ctrlPr>
                      <w:rPr>
                        <w:rFonts w:ascii="Cambria Math" w:hAnsi="Cambria Math"/>
                        <w:i/>
                      </w:rPr>
                    </m:ctrlPr>
                  </m:sub>
                </m:sSub>
                <m:r>
                  <m:rPr/>
                  <w:rPr>
                    <w:rFonts w:ascii="Cambria Math"/>
                  </w:rPr>
                  <m:t>×</m:t>
                </m:r>
                <m:sSub>
                  <m:sSubPr>
                    <m:ctrlPr>
                      <w:rPr>
                        <w:rFonts w:ascii="Cambria Math" w:hAnsi="Cambria Math"/>
                        <w:i/>
                      </w:rPr>
                    </m:ctrlPr>
                  </m:sSubPr>
                  <m:e>
                    <m:r>
                      <m:rPr/>
                      <w:rPr>
                        <w:rFonts w:ascii="Cambria Math"/>
                      </w:rPr>
                      <m:t>C</m:t>
                    </m:r>
                    <m:ctrlPr>
                      <w:rPr>
                        <w:rFonts w:ascii="Cambria Math" w:hAnsi="Cambria Math"/>
                        <w:i/>
                      </w:rPr>
                    </m:ctrlPr>
                  </m:e>
                  <m:sub>
                    <m:r>
                      <m:rPr/>
                      <w:rPr>
                        <w:rFonts w:ascii="Cambria Math"/>
                      </w:rPr>
                      <m:t>i−</m:t>
                    </m:r>
                    <m:r>
                      <m:rPr>
                        <m:sty m:val="p"/>
                      </m:rPr>
                      <w:rPr>
                        <w:rFonts w:hint="eastAsia" w:ascii="Cambria Math"/>
                      </w:rPr>
                      <m:t>企业</m:t>
                    </m:r>
                    <m:r>
                      <m:rPr/>
                      <w:rPr>
                        <w:rFonts w:ascii="Cambria Math"/>
                      </w:rPr>
                      <m:t>,j−</m:t>
                    </m:r>
                    <m:r>
                      <m:rPr>
                        <m:sty m:val="p"/>
                      </m:rPr>
                      <w:rPr>
                        <w:rFonts w:hint="eastAsia" w:ascii="Cambria Math"/>
                      </w:rPr>
                      <m:t>标准</m:t>
                    </m:r>
                    <m:ctrlPr>
                      <w:rPr>
                        <w:rFonts w:ascii="Cambria Math" w:hAnsi="Cambria Math"/>
                        <w:i/>
                      </w:rPr>
                    </m:ctrlPr>
                  </m:sub>
                </m:sSub>
                <m:r>
                  <m:rPr/>
                  <w:rPr>
                    <w:rFonts w:ascii="Cambria Math"/>
                  </w:rPr>
                  <m:t>）</m:t>
                </m:r>
                <m:ctrlPr>
                  <w:rPr>
                    <w:rFonts w:ascii="Cambria Math" w:hAnsi="Cambria Math"/>
                    <w:i/>
                  </w:rPr>
                </m:ctrlPr>
              </m:e>
            </m:nary>
            <m:ctrlPr>
              <w:rPr>
                <w:rFonts w:ascii="Cambria Math" w:hAnsi="Cambria Math"/>
                <w:i/>
              </w:rPr>
            </m:ctrlPr>
          </m:num>
          <m:den>
            <m:nary>
              <m:naryPr>
                <m:chr m:val="∑"/>
                <m:ctrlPr>
                  <w:rPr>
                    <w:rFonts w:ascii="Cambria Math" w:hAnsi="Cambria Math"/>
                    <w:i/>
                  </w:rPr>
                </m:ctrlPr>
              </m:naryPr>
              <m:sub>
                <m:r>
                  <m:rPr/>
                  <w:rPr>
                    <w:rFonts w:ascii="Cambria Math"/>
                  </w:rPr>
                  <m:t>i=1</m:t>
                </m:r>
                <m:ctrlPr>
                  <w:rPr>
                    <w:rFonts w:ascii="Cambria Math" w:hAnsi="Cambria Math"/>
                    <w:i/>
                  </w:rPr>
                </m:ctrlPr>
              </m:sub>
              <m:sup>
                <m:r>
                  <m:rPr/>
                  <w:rPr>
                    <w:rFonts w:ascii="Cambria Math"/>
                  </w:rPr>
                  <m:t>m</m:t>
                </m:r>
                <m:ctrlPr>
                  <w:rPr>
                    <w:rFonts w:ascii="Cambria Math" w:hAnsi="Cambria Math"/>
                    <w:i/>
                  </w:rPr>
                </m:ctrlPr>
              </m:sup>
              <m:e>
                <m:sSub>
                  <m:sSubPr>
                    <m:ctrlPr>
                      <w:rPr>
                        <w:rFonts w:ascii="Cambria Math" w:hAnsi="Cambria Math"/>
                        <w:i/>
                      </w:rPr>
                    </m:ctrlPr>
                  </m:sSubPr>
                  <m:e>
                    <m:r>
                      <m:rPr/>
                      <w:rPr>
                        <w:rFonts w:ascii="Cambria Math"/>
                      </w:rPr>
                      <m:t>Q</m:t>
                    </m:r>
                    <m:ctrlPr>
                      <w:rPr>
                        <w:rFonts w:ascii="Cambria Math" w:hAnsi="Cambria Math"/>
                        <w:i/>
                      </w:rPr>
                    </m:ctrlPr>
                  </m:e>
                  <m:sub>
                    <m:r>
                      <m:rPr/>
                      <w:rPr>
                        <w:rFonts w:hint="eastAsia" w:ascii="Cambria Math"/>
                      </w:rPr>
                      <m:t>i</m:t>
                    </m:r>
                    <m:r>
                      <m:rPr/>
                      <w:rPr>
                        <w:rFonts w:ascii="Cambria Math"/>
                      </w:rPr>
                      <m:t>−</m:t>
                    </m:r>
                    <m:r>
                      <m:rPr>
                        <m:sty m:val="p"/>
                      </m:rPr>
                      <w:rPr>
                        <w:rFonts w:hint="eastAsia" w:ascii="Cambria Math"/>
                      </w:rPr>
                      <m:t>企业</m:t>
                    </m:r>
                    <m:ctrlPr>
                      <w:rPr>
                        <w:rFonts w:ascii="Cambria Math" w:hAnsi="Cambria Math"/>
                        <w:i/>
                      </w:rPr>
                    </m:ctrlPr>
                  </m:sub>
                </m:sSub>
                <m:ctrlPr>
                  <w:rPr>
                    <w:rFonts w:ascii="Cambria Math" w:hAnsi="Cambria Math"/>
                    <w:i/>
                  </w:rPr>
                </m:ctrlPr>
              </m:e>
            </m:nary>
            <m:ctrlPr>
              <w:rPr>
                <w:rFonts w:hint="eastAsia" w:ascii="Cambria Math" w:hAnsi="Cambria Math"/>
                <w:i/>
              </w:rPr>
            </m:ctrlPr>
          </m:den>
        </m:f>
      </m:oMath>
      <w:r>
        <w:rPr>
          <w:rFonts w:ascii="微软雅黑" w:hAnsi="微软雅黑" w:eastAsia="微软雅黑"/>
        </w:rPr>
        <w:tab/>
      </w:r>
      <w:r>
        <w:t>(</w:t>
      </w:r>
      <w:r>
        <w:rPr>
          <w:rFonts w:hint="eastAsia"/>
        </w:rPr>
        <w:t>6</w:t>
      </w:r>
      <w:r>
        <w:t>)</w:t>
      </w:r>
    </w:p>
    <w:p w14:paraId="6E6391A5">
      <w:pPr>
        <w:pStyle w:val="55"/>
        <w:spacing w:line="240" w:lineRule="auto"/>
        <w:ind w:firstLine="420"/>
      </w:pPr>
      <w:r>
        <w:rPr>
          <w:rFonts w:hint="eastAsia"/>
        </w:rPr>
        <w:t>式中：</w:t>
      </w:r>
    </w:p>
    <w:p w14:paraId="7CD74B7E">
      <w:pPr>
        <w:adjustRightInd/>
        <w:snapToGrid w:val="0"/>
        <w:spacing w:line="240" w:lineRule="auto"/>
        <w:ind w:firstLine="420" w:firstLineChars="200"/>
        <w:rPr>
          <w:rFonts w:hint="eastAsia" w:ascii="宋体" w:hAnsi="宋体"/>
        </w:rPr>
      </w:pPr>
      <m:oMath>
        <m:sSub>
          <m:sSubPr>
            <m:ctrlPr>
              <w:rPr>
                <w:rFonts w:ascii="Cambria Math" w:hAnsi="宋体"/>
                <w:i/>
              </w:rPr>
            </m:ctrlPr>
          </m:sSubPr>
          <m:e>
            <m:r>
              <m:rPr/>
              <w:rPr>
                <w:rFonts w:ascii="Cambria Math"/>
              </w:rPr>
              <m:t>C</m:t>
            </m:r>
            <m:ctrlPr>
              <w:rPr>
                <w:rFonts w:ascii="Cambria Math" w:hAnsi="宋体"/>
                <w:i/>
              </w:rPr>
            </m:ctrlPr>
          </m:e>
          <m:sub>
            <m:r>
              <m:rPr/>
              <w:rPr>
                <w:rFonts w:hint="eastAsia" w:ascii="Cambria Math"/>
              </w:rPr>
              <m:t>wwpt</m:t>
            </m:r>
            <m:r>
              <m:rPr/>
              <w:rPr>
                <w:rFonts w:ascii="Cambria Math"/>
              </w:rPr>
              <m:t>,j−</m:t>
            </m:r>
            <m:r>
              <m:rPr>
                <m:sty m:val="p"/>
              </m:rPr>
              <w:rPr>
                <w:rFonts w:hint="eastAsia" w:ascii="Cambria Math"/>
              </w:rPr>
              <m:t>折算</m:t>
            </m:r>
            <m:ctrlPr>
              <w:rPr>
                <w:rFonts w:ascii="Cambria Math" w:hAnsi="宋体"/>
                <w:i/>
              </w:rPr>
            </m:ctrlPr>
          </m:sub>
        </m:sSub>
      </m:oMath>
      <w:r>
        <w:rPr>
          <w:rFonts w:hint="eastAsia" w:ascii="宋体" w:hAnsi="宋体"/>
        </w:rPr>
        <w:t>——</w:t>
      </w:r>
      <w:r>
        <w:rPr>
          <w:rFonts w:ascii="宋体" w:hAnsi="宋体"/>
        </w:rPr>
        <w:t>折算的</w:t>
      </w:r>
      <w:r>
        <w:rPr>
          <w:rFonts w:hint="eastAsia" w:ascii="宋体" w:hAnsi="宋体"/>
        </w:rPr>
        <w:t>污水集中处理设施</w:t>
      </w:r>
      <w:r>
        <w:rPr>
          <w:rFonts w:ascii="宋体" w:hAnsi="宋体"/>
        </w:rPr>
        <w:t>第j项水污染物的排放浓度限值，mg/L；</w:t>
      </w:r>
    </w:p>
    <w:p w14:paraId="55D32CB9">
      <w:pPr>
        <w:adjustRightInd/>
        <w:snapToGrid w:val="0"/>
        <w:spacing w:line="240" w:lineRule="auto"/>
        <w:ind w:firstLine="420" w:firstLineChars="200"/>
        <w:rPr>
          <w:rFonts w:hint="eastAsia" w:ascii="宋体" w:hAnsi="宋体"/>
        </w:rPr>
      </w:pPr>
      <m:oMath>
        <m:sSub>
          <m:sSubPr>
            <m:ctrlPr>
              <w:rPr>
                <w:rFonts w:ascii="Cambria Math" w:hAnsi="宋体"/>
                <w:i/>
              </w:rPr>
            </m:ctrlPr>
          </m:sSubPr>
          <m:e>
            <m:r>
              <m:rPr/>
              <w:rPr>
                <w:rFonts w:ascii="Cambria Math"/>
              </w:rPr>
              <m:t>C</m:t>
            </m:r>
            <m:ctrlPr>
              <w:rPr>
                <w:rFonts w:ascii="Cambria Math" w:hAnsi="宋体"/>
                <w:i/>
              </w:rPr>
            </m:ctrlPr>
          </m:e>
          <m:sub>
            <m:r>
              <m:rPr/>
              <w:rPr>
                <w:rFonts w:ascii="Cambria Math"/>
              </w:rPr>
              <m:t>i−</m:t>
            </m:r>
            <m:r>
              <m:rPr>
                <m:sty m:val="p"/>
              </m:rPr>
              <w:rPr>
                <w:rFonts w:hint="eastAsia" w:ascii="Cambria Math"/>
              </w:rPr>
              <m:t>企业</m:t>
            </m:r>
            <m:r>
              <m:rPr/>
              <w:rPr>
                <w:rFonts w:ascii="Cambria Math"/>
              </w:rPr>
              <m:t>,j−</m:t>
            </m:r>
            <m:r>
              <m:rPr>
                <m:sty m:val="p"/>
              </m:rPr>
              <w:rPr>
                <w:rFonts w:hint="eastAsia" w:ascii="Cambria Math"/>
              </w:rPr>
              <m:t>标准</m:t>
            </m:r>
            <m:ctrlPr>
              <w:rPr>
                <w:rFonts w:ascii="Cambria Math" w:hAnsi="宋体"/>
                <w:i/>
              </w:rPr>
            </m:ctrlPr>
          </m:sub>
        </m:sSub>
      </m:oMath>
      <w:r>
        <w:rPr>
          <w:rFonts w:hint="eastAsia" w:ascii="宋体" w:hAnsi="宋体"/>
        </w:rPr>
        <w:t>——</w:t>
      </w:r>
      <w:r>
        <w:rPr>
          <w:rFonts w:ascii="宋体" w:hAnsi="宋体"/>
        </w:rPr>
        <w:t>第i个</w:t>
      </w:r>
      <w:r>
        <w:rPr>
          <w:rFonts w:hint="eastAsia" w:ascii="宋体" w:hAnsi="宋体"/>
        </w:rPr>
        <w:t>工业企业</w:t>
      </w:r>
      <w:r>
        <w:rPr>
          <w:rFonts w:ascii="宋体" w:hAnsi="宋体"/>
        </w:rPr>
        <w:t>废水自行处理时适用排放标准中第j项水污染物的排放浓度限值，mg/L，排放标准中未作规定或规定为“不得检出”时，</w:t>
      </w:r>
      <m:oMath>
        <m:sSub>
          <m:sSubPr>
            <m:ctrlPr>
              <w:rPr>
                <w:rFonts w:ascii="Cambria Math" w:hAnsi="宋体"/>
                <w:i/>
              </w:rPr>
            </m:ctrlPr>
          </m:sSubPr>
          <m:e>
            <m:r>
              <m:rPr/>
              <w:rPr>
                <w:rFonts w:ascii="Cambria Math"/>
              </w:rPr>
              <m:t>C</m:t>
            </m:r>
            <m:ctrlPr>
              <w:rPr>
                <w:rFonts w:ascii="Cambria Math" w:hAnsi="宋体"/>
                <w:i/>
              </w:rPr>
            </m:ctrlPr>
          </m:e>
          <m:sub>
            <m:r>
              <m:rPr/>
              <w:rPr>
                <w:rFonts w:ascii="Cambria Math"/>
              </w:rPr>
              <m:t>i−</m:t>
            </m:r>
            <m:r>
              <m:rPr>
                <m:sty m:val="p"/>
              </m:rPr>
              <w:rPr>
                <w:rFonts w:hint="eastAsia" w:ascii="Cambria Math"/>
              </w:rPr>
              <m:t>企业</m:t>
            </m:r>
            <m:r>
              <m:rPr/>
              <w:rPr>
                <w:rFonts w:ascii="Cambria Math"/>
              </w:rPr>
              <m:t>,j−</m:t>
            </m:r>
            <m:r>
              <m:rPr>
                <m:sty m:val="p"/>
              </m:rPr>
              <w:rPr>
                <w:rFonts w:hint="eastAsia" w:ascii="Cambria Math"/>
              </w:rPr>
              <m:t>标准</m:t>
            </m:r>
            <m:ctrlPr>
              <w:rPr>
                <w:rFonts w:ascii="Cambria Math" w:hAnsi="宋体"/>
                <w:i/>
              </w:rPr>
            </m:ctrlPr>
          </m:sub>
        </m:sSub>
      </m:oMath>
      <w:r>
        <w:rPr>
          <w:rFonts w:ascii="宋体" w:hAnsi="宋体"/>
        </w:rPr>
        <w:t>取零；</w:t>
      </w:r>
    </w:p>
    <w:p w14:paraId="21678F0C">
      <w:pPr>
        <w:pStyle w:val="56"/>
        <w:snapToGrid w:val="0"/>
        <w:ind w:firstLine="420"/>
        <w:rPr>
          <w:rFonts w:ascii="Times New Roman"/>
        </w:rPr>
      </w:pPr>
      <m:oMath>
        <m:sSub>
          <m:sSubPr>
            <m:ctrlPr>
              <w:rPr>
                <w:rFonts w:ascii="Cambria Math" w:hAnsi="宋体"/>
                <w:i/>
                <w:kern w:val="2"/>
                <w:szCs w:val="21"/>
              </w:rPr>
            </m:ctrlPr>
          </m:sSubPr>
          <m:e>
            <m:r>
              <m:rPr/>
              <w:rPr>
                <w:rFonts w:ascii="Cambria Math"/>
              </w:rPr>
              <m:t>Q</m:t>
            </m:r>
            <m:ctrlPr>
              <w:rPr>
                <w:rFonts w:ascii="Cambria Math" w:hAnsi="宋体"/>
                <w:i/>
                <w:kern w:val="2"/>
                <w:szCs w:val="21"/>
              </w:rPr>
            </m:ctrlPr>
          </m:e>
          <m:sub>
            <m:r>
              <m:rPr/>
              <w:rPr>
                <w:rFonts w:hint="eastAsia" w:ascii="Cambria Math"/>
              </w:rPr>
              <m:t>i</m:t>
            </m:r>
            <m:r>
              <m:rPr/>
              <w:rPr>
                <w:rFonts w:ascii="Cambria Math"/>
              </w:rPr>
              <m:t>−</m:t>
            </m:r>
            <m:r>
              <m:rPr>
                <m:sty m:val="p"/>
              </m:rPr>
              <w:rPr>
                <w:rFonts w:hint="eastAsia" w:ascii="Cambria Math"/>
              </w:rPr>
              <m:t>企业</m:t>
            </m:r>
            <m:ctrlPr>
              <w:rPr>
                <w:rFonts w:ascii="Cambria Math" w:hAnsi="宋体"/>
                <w:i/>
                <w:kern w:val="2"/>
                <w:szCs w:val="21"/>
              </w:rPr>
            </m:ctrlPr>
          </m:sub>
        </m:sSub>
      </m:oMath>
      <w:r>
        <w:rPr>
          <w:rFonts w:hint="eastAsia" w:hAnsi="宋体"/>
        </w:rPr>
        <w:t>和</w:t>
      </w:r>
      <w:r>
        <w:rPr>
          <w:rFonts w:ascii="Times New Roman"/>
        </w:rPr>
        <w:t>m</w:t>
      </w:r>
      <w:r>
        <w:rPr>
          <w:rFonts w:hint="eastAsia" w:hAnsi="宋体"/>
          <w:kern w:val="44"/>
        </w:rPr>
        <w:t>见公式（1）</w:t>
      </w:r>
      <w:r>
        <w:rPr>
          <w:rFonts w:ascii="Times New Roman"/>
        </w:rPr>
        <w:t>。</w:t>
      </w:r>
    </w:p>
    <w:p w14:paraId="1424D542">
      <w:pPr>
        <w:adjustRightInd/>
        <w:snapToGrid w:val="0"/>
        <w:spacing w:line="240" w:lineRule="auto"/>
        <w:ind w:firstLine="420" w:firstLineChars="200"/>
      </w:pPr>
      <w:r>
        <w:rPr>
          <w:rFonts w:hint="eastAsia"/>
        </w:rPr>
        <w:t>其中：</w:t>
      </w:r>
      <m:oMath>
        <m:sSub>
          <m:sSubPr>
            <m:ctrlPr>
              <w:rPr>
                <w:rFonts w:ascii="Cambria Math" w:hAnsi="宋体"/>
                <w:i/>
              </w:rPr>
            </m:ctrlPr>
          </m:sSubPr>
          <m:e>
            <m:r>
              <m:rPr/>
              <w:rPr>
                <w:rFonts w:ascii="Cambria Math"/>
              </w:rPr>
              <m:t>Q</m:t>
            </m:r>
            <m:ctrlPr>
              <w:rPr>
                <w:rFonts w:ascii="Cambria Math" w:hAnsi="宋体"/>
                <w:i/>
              </w:rPr>
            </m:ctrlPr>
          </m:e>
          <m:sub>
            <m:r>
              <m:rPr/>
              <w:rPr>
                <w:rFonts w:hint="eastAsia" w:ascii="Cambria Math"/>
              </w:rPr>
              <m:t>i</m:t>
            </m:r>
            <m:r>
              <m:rPr/>
              <w:rPr>
                <w:rFonts w:ascii="Cambria Math"/>
              </w:rPr>
              <m:t>−</m:t>
            </m:r>
            <m:r>
              <m:rPr>
                <m:sty m:val="p"/>
              </m:rPr>
              <w:rPr>
                <w:rFonts w:hint="eastAsia" w:ascii="Cambria Math"/>
              </w:rPr>
              <m:t>企业</m:t>
            </m:r>
            <m:ctrlPr>
              <w:rPr>
                <w:rFonts w:ascii="Cambria Math" w:hAnsi="宋体"/>
                <w:i/>
              </w:rPr>
            </m:ctrlPr>
          </m:sub>
        </m:sSub>
      </m:oMath>
      <w:r>
        <w:rPr>
          <w:rFonts w:ascii="Times New Roman" w:hAnsi="Times New Roman"/>
        </w:rPr>
        <w:t>，应将</w:t>
      </w:r>
      <w:r>
        <w:rPr>
          <w:rFonts w:hint="eastAsia"/>
        </w:rPr>
        <w:t>工业企业</w:t>
      </w:r>
      <w:r>
        <w:rPr>
          <w:rFonts w:ascii="Times New Roman" w:hAnsi="Times New Roman"/>
        </w:rPr>
        <w:t>排入污水</w:t>
      </w:r>
      <w:r>
        <w:rPr>
          <w:rFonts w:hint="eastAsia"/>
        </w:rPr>
        <w:t>集中处理设施</w:t>
      </w:r>
      <w:r>
        <w:rPr>
          <w:rFonts w:ascii="Times New Roman" w:hAnsi="Times New Roman"/>
        </w:rPr>
        <w:t>的实际废水流量与</w:t>
      </w:r>
      <w:r>
        <w:rPr>
          <w:rFonts w:hint="eastAsia"/>
        </w:rPr>
        <w:t>工业企业</w:t>
      </w:r>
      <w:r>
        <w:rPr>
          <w:rFonts w:ascii="Times New Roman" w:hAnsi="Times New Roman"/>
        </w:rPr>
        <w:t>废水自行处理时适用排放标准中规定的单位产品基准排水量与产品产能的乘积进行对比：</w:t>
      </w:r>
    </w:p>
    <w:p w14:paraId="5BBA539B">
      <w:pPr>
        <w:pStyle w:val="132"/>
        <w:snapToGrid w:val="0"/>
        <w:ind w:left="850" w:hanging="425"/>
        <w:rPr>
          <w:b/>
          <w:bCs/>
        </w:rPr>
      </w:pPr>
      <w:r>
        <w:t>如果</w:t>
      </w:r>
      <m:oMath>
        <m:sSub>
          <m:sSubPr>
            <m:ctrlPr>
              <w:rPr>
                <w:rFonts w:ascii="Cambria Math" w:hAnsi="宋体"/>
                <w:i/>
                <w:kern w:val="2"/>
                <w:szCs w:val="21"/>
              </w:rPr>
            </m:ctrlPr>
          </m:sSubPr>
          <m:e>
            <m:r>
              <m:rPr/>
              <w:rPr>
                <w:rFonts w:ascii="Cambria Math"/>
              </w:rPr>
              <m:t>Q</m:t>
            </m:r>
            <m:ctrlPr>
              <w:rPr>
                <w:rFonts w:ascii="Cambria Math" w:hAnsi="宋体"/>
                <w:i/>
                <w:kern w:val="2"/>
                <w:szCs w:val="21"/>
              </w:rPr>
            </m:ctrlPr>
          </m:e>
          <m:sub>
            <m:r>
              <m:rPr/>
              <w:rPr>
                <w:rFonts w:hint="eastAsia" w:ascii="Cambria Math"/>
              </w:rPr>
              <m:t>i</m:t>
            </m:r>
            <m:r>
              <m:rPr/>
              <w:rPr>
                <w:rFonts w:ascii="Cambria Math"/>
              </w:rPr>
              <m:t>−</m:t>
            </m:r>
            <m:r>
              <m:rPr>
                <m:sty m:val="p"/>
              </m:rPr>
              <w:rPr>
                <w:rFonts w:hint="eastAsia" w:ascii="Cambria Math"/>
              </w:rPr>
              <m:t>企业</m:t>
            </m:r>
            <m:ctrlPr>
              <w:rPr>
                <w:rFonts w:ascii="Cambria Math" w:hAnsi="宋体"/>
                <w:i/>
                <w:kern w:val="2"/>
                <w:szCs w:val="21"/>
              </w:rPr>
            </m:ctrlPr>
          </m:sub>
        </m:sSub>
      </m:oMath>
      <w:r>
        <w:rPr>
          <w:rFonts w:hint="eastAsia"/>
          <w:kern w:val="2"/>
          <w:szCs w:val="21"/>
        </w:rPr>
        <w:t>实际废水排放量</w:t>
      </w:r>
      <w:r>
        <w:rPr>
          <w:rFonts w:hint="eastAsia"/>
        </w:rPr>
        <w:t>大于</w:t>
      </w:r>
      <w:r>
        <w:t>单位产品基准排水量×产品产能</w:t>
      </w:r>
      <w:r>
        <w:rPr>
          <w:rFonts w:hint="eastAsia"/>
        </w:rPr>
        <w:t>的计算值</w:t>
      </w:r>
      <w:r>
        <w:t>，则</w:t>
      </w:r>
      <m:oMath>
        <m:sSub>
          <m:sSubPr>
            <m:ctrlPr>
              <w:rPr>
                <w:rFonts w:ascii="Cambria Math" w:hAnsi="宋体"/>
                <w:i/>
                <w:kern w:val="2"/>
                <w:szCs w:val="21"/>
              </w:rPr>
            </m:ctrlPr>
          </m:sSubPr>
          <m:e>
            <m:r>
              <m:rPr/>
              <w:rPr>
                <w:rFonts w:ascii="Cambria Math"/>
              </w:rPr>
              <m:t>Q</m:t>
            </m:r>
            <m:ctrlPr>
              <w:rPr>
                <w:rFonts w:ascii="Cambria Math" w:hAnsi="宋体"/>
                <w:i/>
                <w:kern w:val="2"/>
                <w:szCs w:val="21"/>
              </w:rPr>
            </m:ctrlPr>
          </m:e>
          <m:sub>
            <m:r>
              <m:rPr/>
              <w:rPr>
                <w:rFonts w:hint="eastAsia" w:ascii="Cambria Math"/>
              </w:rPr>
              <m:t>i</m:t>
            </m:r>
            <m:r>
              <m:rPr/>
              <w:rPr>
                <w:rFonts w:ascii="Cambria Math"/>
              </w:rPr>
              <m:t>−</m:t>
            </m:r>
            <m:r>
              <m:rPr>
                <m:sty m:val="p"/>
              </m:rPr>
              <w:rPr>
                <w:rFonts w:hint="eastAsia" w:ascii="Cambria Math"/>
              </w:rPr>
              <m:t>企业</m:t>
            </m:r>
            <m:ctrlPr>
              <w:rPr>
                <w:rFonts w:ascii="Cambria Math" w:hAnsi="宋体"/>
                <w:i/>
                <w:kern w:val="2"/>
                <w:szCs w:val="21"/>
              </w:rPr>
            </m:ctrlPr>
          </m:sub>
        </m:sSub>
      </m:oMath>
      <w:r>
        <w:rPr>
          <w:rFonts w:hint="eastAsia"/>
        </w:rPr>
        <w:t>取</w:t>
      </w:r>
      <w:r>
        <w:t>单位产品基准排水量×产品产能</w:t>
      </w:r>
      <w:r>
        <w:rPr>
          <w:rFonts w:hint="eastAsia"/>
        </w:rPr>
        <w:t>的计算值</w:t>
      </w:r>
    </w:p>
    <w:p w14:paraId="16264172">
      <w:pPr>
        <w:pStyle w:val="132"/>
        <w:snapToGrid w:val="0"/>
        <w:ind w:left="850" w:hanging="425"/>
      </w:pPr>
      <w:r>
        <w:t>如果</w:t>
      </w:r>
      <m:oMath>
        <m:sSub>
          <m:sSubPr>
            <m:ctrlPr>
              <w:rPr>
                <w:rFonts w:ascii="Cambria Math" w:hAnsi="宋体"/>
                <w:i/>
                <w:kern w:val="2"/>
                <w:szCs w:val="21"/>
              </w:rPr>
            </m:ctrlPr>
          </m:sSubPr>
          <m:e>
            <m:r>
              <m:rPr/>
              <w:rPr>
                <w:rFonts w:ascii="Cambria Math"/>
              </w:rPr>
              <m:t>Q</m:t>
            </m:r>
            <m:ctrlPr>
              <w:rPr>
                <w:rFonts w:ascii="Cambria Math" w:hAnsi="宋体"/>
                <w:i/>
                <w:kern w:val="2"/>
                <w:szCs w:val="21"/>
              </w:rPr>
            </m:ctrlPr>
          </m:e>
          <m:sub>
            <m:r>
              <m:rPr/>
              <w:rPr>
                <w:rFonts w:hint="eastAsia" w:ascii="Cambria Math"/>
              </w:rPr>
              <m:t>i</m:t>
            </m:r>
            <m:r>
              <m:rPr/>
              <w:rPr>
                <w:rFonts w:ascii="Cambria Math"/>
              </w:rPr>
              <m:t>−</m:t>
            </m:r>
            <m:r>
              <m:rPr>
                <m:sty m:val="p"/>
              </m:rPr>
              <w:rPr>
                <w:rFonts w:hint="eastAsia" w:ascii="Cambria Math"/>
              </w:rPr>
              <m:t>企业</m:t>
            </m:r>
            <m:ctrlPr>
              <w:rPr>
                <w:rFonts w:ascii="Cambria Math" w:hAnsi="宋体"/>
                <w:i/>
                <w:kern w:val="2"/>
                <w:szCs w:val="21"/>
              </w:rPr>
            </m:ctrlPr>
          </m:sub>
        </m:sSub>
      </m:oMath>
      <w:r>
        <w:rPr>
          <w:rFonts w:hint="eastAsia"/>
        </w:rPr>
        <w:t>实际废水排放量小于等于</w:t>
      </w:r>
      <w:r>
        <w:t>单位产品基准排水量×产品产能</w:t>
      </w:r>
      <w:r>
        <w:rPr>
          <w:rFonts w:hint="eastAsia"/>
        </w:rPr>
        <w:t>的计算值</w:t>
      </w:r>
      <w:r>
        <w:t>,则</w:t>
      </w:r>
      <m:oMath>
        <m:sSub>
          <m:sSubPr>
            <m:ctrlPr>
              <w:rPr>
                <w:rFonts w:ascii="Cambria Math" w:hAnsi="宋体"/>
                <w:i/>
                <w:kern w:val="2"/>
                <w:szCs w:val="21"/>
              </w:rPr>
            </m:ctrlPr>
          </m:sSubPr>
          <m:e>
            <m:r>
              <m:rPr/>
              <w:rPr>
                <w:rFonts w:ascii="Cambria Math"/>
              </w:rPr>
              <m:t>Q</m:t>
            </m:r>
            <m:ctrlPr>
              <w:rPr>
                <w:rFonts w:ascii="Cambria Math" w:hAnsi="宋体"/>
                <w:i/>
                <w:kern w:val="2"/>
                <w:szCs w:val="21"/>
              </w:rPr>
            </m:ctrlPr>
          </m:e>
          <m:sub>
            <m:r>
              <m:rPr/>
              <w:rPr>
                <w:rFonts w:hint="eastAsia" w:ascii="Cambria Math"/>
              </w:rPr>
              <m:t>i</m:t>
            </m:r>
            <m:r>
              <m:rPr/>
              <w:rPr>
                <w:rFonts w:ascii="Cambria Math"/>
              </w:rPr>
              <m:t>−</m:t>
            </m:r>
            <m:r>
              <m:rPr>
                <m:sty m:val="p"/>
              </m:rPr>
              <w:rPr>
                <w:rFonts w:hint="eastAsia" w:ascii="Cambria Math"/>
              </w:rPr>
              <m:t>企业</m:t>
            </m:r>
            <m:ctrlPr>
              <w:rPr>
                <w:rFonts w:ascii="Cambria Math" w:hAnsi="宋体"/>
                <w:i/>
                <w:kern w:val="2"/>
                <w:szCs w:val="21"/>
              </w:rPr>
            </m:ctrlPr>
          </m:sub>
        </m:sSub>
      </m:oMath>
      <w:r>
        <w:rPr>
          <w:rFonts w:hint="eastAsia"/>
        </w:rPr>
        <w:t>取实际排水量。</w:t>
      </w:r>
    </w:p>
    <w:bookmarkEnd w:id="78"/>
    <w:p w14:paraId="51540A04">
      <w:pPr>
        <w:pStyle w:val="165"/>
      </w:pPr>
      <w:bookmarkStart w:id="79" w:name="_Hlk234915027"/>
      <w:r>
        <w:rPr>
          <w:rFonts w:hint="eastAsia"/>
        </w:rPr>
        <w:t>对废水碳源综合利用过程中涉及的污染物，污水集中处理设施应开展出水浓度监测，并按公式（7）进行分析判断。公式成立则通过风险评估。</w:t>
      </w:r>
    </w:p>
    <w:p w14:paraId="7CA63578">
      <w:pPr>
        <w:pStyle w:val="113"/>
        <w:rPr>
          <w:rFonts w:hint="eastAsia"/>
        </w:rPr>
      </w:pPr>
      <w:r>
        <w:rPr>
          <w:rFonts w:hint="eastAsia"/>
        </w:rPr>
        <w:tab/>
      </w:r>
      <m:oMath>
        <m:sSub>
          <m:sSubPr>
            <m:ctrlPr>
              <w:rPr>
                <w:rFonts w:ascii="Cambria Math" w:hAnsi="Cambria Math"/>
                <w:i/>
              </w:rPr>
            </m:ctrlPr>
          </m:sSubPr>
          <m:e>
            <m:r>
              <m:rPr/>
              <w:rPr>
                <w:rFonts w:ascii="Cambria Math"/>
              </w:rPr>
              <m:t>C</m:t>
            </m:r>
            <m:ctrlPr>
              <w:rPr>
                <w:rFonts w:ascii="Cambria Math" w:hAnsi="Cambria Math"/>
                <w:i/>
              </w:rPr>
            </m:ctrlPr>
          </m:e>
          <m:sub>
            <m:r>
              <m:rPr/>
              <w:rPr>
                <w:rFonts w:hint="eastAsia" w:ascii="Cambria Math"/>
              </w:rPr>
              <m:t>wwpt</m:t>
            </m:r>
            <m:r>
              <m:rPr/>
              <w:rPr>
                <w:rFonts w:ascii="Cambria Math"/>
              </w:rPr>
              <m:t>,j−</m:t>
            </m:r>
            <m:r>
              <m:rPr>
                <m:sty m:val="p"/>
              </m:rPr>
              <w:rPr>
                <w:rFonts w:hint="eastAsia" w:ascii="Cambria Math"/>
              </w:rPr>
              <m:t>监测</m:t>
            </m:r>
            <m:ctrlPr>
              <w:rPr>
                <w:rFonts w:ascii="Cambria Math" w:hAnsi="Cambria Math"/>
                <w:i/>
              </w:rPr>
            </m:ctrlPr>
          </m:sub>
        </m:sSub>
        <m:r>
          <m:rPr/>
          <w:rPr>
            <w:rFonts w:ascii="Cambria Math" w:hAnsi="Cambria Math"/>
          </w:rPr>
          <m:t>≤</m:t>
        </m:r>
        <m:r>
          <m:rPr/>
          <w:rPr>
            <w:rFonts w:hint="eastAsia" w:ascii="Cambria Math" w:hAnsi="Cambria Math"/>
          </w:rPr>
          <m:t>min（</m:t>
        </m:r>
        <m:sSub>
          <m:sSubPr>
            <m:ctrlPr>
              <w:rPr>
                <w:rFonts w:ascii="Cambria Math" w:hAnsi="Cambria Math"/>
                <w:i/>
              </w:rPr>
            </m:ctrlPr>
          </m:sSubPr>
          <m:e>
            <m:r>
              <m:rPr/>
              <w:rPr>
                <w:rFonts w:ascii="Cambria Math"/>
              </w:rPr>
              <m:t>C</m:t>
            </m:r>
            <m:ctrlPr>
              <w:rPr>
                <w:rFonts w:ascii="Cambria Math" w:hAnsi="Cambria Math"/>
                <w:i/>
              </w:rPr>
            </m:ctrlPr>
          </m:e>
          <m:sub>
            <m:r>
              <m:rPr/>
              <w:rPr>
                <w:rFonts w:hint="eastAsia" w:ascii="Cambria Math"/>
              </w:rPr>
              <m:t>wwpt</m:t>
            </m:r>
            <m:r>
              <m:rPr/>
              <w:rPr>
                <w:rFonts w:ascii="Cambria Math"/>
              </w:rPr>
              <m:t>,j−</m:t>
            </m:r>
            <m:r>
              <m:rPr>
                <m:sty m:val="p"/>
              </m:rPr>
              <w:rPr>
                <w:rFonts w:hint="eastAsia" w:ascii="Cambria Math"/>
              </w:rPr>
              <m:t>折算</m:t>
            </m:r>
            <m:ctrlPr>
              <w:rPr>
                <w:rFonts w:ascii="Cambria Math" w:hAnsi="Cambria Math"/>
                <w:i/>
              </w:rPr>
            </m:ctrlPr>
          </m:sub>
        </m:sSub>
        <m:r>
          <m:rPr>
            <m:sty m:val="p"/>
          </m:rPr>
          <w:rPr>
            <w:rFonts w:hint="eastAsia" w:ascii="Cambria Math" w:hAnsi="Cambria Math"/>
          </w:rPr>
          <m:t>，</m:t>
        </m:r>
        <m:sSub>
          <m:sSubPr>
            <m:ctrlPr>
              <w:rPr>
                <w:rFonts w:ascii="Cambria Math" w:hAnsi="Cambria Math"/>
                <w:i/>
              </w:rPr>
            </m:ctrlPr>
          </m:sSubPr>
          <m:e>
            <m:r>
              <m:rPr/>
              <w:rPr>
                <w:rFonts w:ascii="Cambria Math"/>
              </w:rPr>
              <m:t>C</m:t>
            </m:r>
            <m:ctrlPr>
              <w:rPr>
                <w:rFonts w:ascii="Cambria Math" w:hAnsi="Cambria Math"/>
                <w:i/>
              </w:rPr>
            </m:ctrlPr>
          </m:e>
          <m:sub>
            <m:r>
              <m:rPr/>
              <w:rPr>
                <w:rFonts w:hint="eastAsia" w:ascii="Cambria Math"/>
              </w:rPr>
              <m:t>wwpt</m:t>
            </m:r>
            <m:r>
              <m:rPr/>
              <w:rPr>
                <w:rFonts w:ascii="Cambria Math"/>
              </w:rPr>
              <m:t>,j−</m:t>
            </m:r>
            <m:r>
              <m:rPr>
                <m:sty m:val="p"/>
              </m:rPr>
              <w:rPr>
                <w:rFonts w:hint="eastAsia" w:ascii="Cambria Math"/>
              </w:rPr>
              <m:t>标准</m:t>
            </m:r>
            <m:ctrlPr>
              <w:rPr>
                <w:rFonts w:ascii="Cambria Math" w:hAnsi="Cambria Math"/>
                <w:i/>
              </w:rPr>
            </m:ctrlPr>
          </m:sub>
        </m:sSub>
        <m:r>
          <m:rPr/>
          <w:rPr>
            <w:rFonts w:hint="eastAsia" w:ascii="Cambria Math" w:hAnsi="Cambria Math"/>
          </w:rPr>
          <m:t>）</m:t>
        </m:r>
        <m:r>
          <m:rPr/>
          <w:rPr>
            <w:rFonts w:ascii="Cambria Math" w:hAnsi="Cambria Math"/>
          </w:rPr>
          <m:t xml:space="preserve"> </m:t>
        </m:r>
      </m:oMath>
      <w:r>
        <w:rPr>
          <w:rFonts w:hint="eastAsia" w:ascii="微软雅黑" w:hAnsi="微软雅黑" w:eastAsia="微软雅黑"/>
        </w:rPr>
        <w:tab/>
      </w:r>
      <w:r>
        <w:t>(</w:t>
      </w:r>
      <w:r>
        <w:rPr>
          <w:rFonts w:hint="eastAsia"/>
        </w:rPr>
        <w:t>7</w:t>
      </w:r>
      <w:r>
        <w:t>)</w:t>
      </w:r>
    </w:p>
    <w:p w14:paraId="661BC27D">
      <w:pPr>
        <w:pStyle w:val="55"/>
        <w:ind w:firstLine="420"/>
      </w:pPr>
      <w:r>
        <w:rPr>
          <w:rFonts w:hint="eastAsia"/>
        </w:rPr>
        <w:t>式中：</w:t>
      </w:r>
    </w:p>
    <w:p w14:paraId="7AFA5230">
      <w:pPr>
        <w:pStyle w:val="56"/>
        <w:snapToGrid w:val="0"/>
        <w:ind w:firstLine="420"/>
        <w:rPr>
          <w:kern w:val="2"/>
          <w:szCs w:val="21"/>
        </w:rPr>
      </w:pPr>
      <m:oMath>
        <m:sSub>
          <m:sSubPr>
            <m:ctrlPr>
              <w:rPr>
                <w:rFonts w:ascii="Cambria Math" w:hAnsi="宋体"/>
                <w:i/>
                <w:kern w:val="2"/>
                <w:szCs w:val="21"/>
              </w:rPr>
            </m:ctrlPr>
          </m:sSubPr>
          <m:e>
            <m:r>
              <m:rPr/>
              <w:rPr>
                <w:rFonts w:ascii="Cambria Math"/>
              </w:rPr>
              <m:t>C</m:t>
            </m:r>
            <m:ctrlPr>
              <w:rPr>
                <w:rFonts w:ascii="Cambria Math" w:hAnsi="宋体"/>
                <w:i/>
                <w:kern w:val="2"/>
                <w:szCs w:val="21"/>
              </w:rPr>
            </m:ctrlPr>
          </m:e>
          <m:sub>
            <m:r>
              <m:rPr/>
              <w:rPr>
                <w:rFonts w:hint="eastAsia" w:ascii="Cambria Math"/>
              </w:rPr>
              <m:t>wwpt</m:t>
            </m:r>
            <m:r>
              <m:rPr/>
              <w:rPr>
                <w:rFonts w:ascii="Cambria Math"/>
              </w:rPr>
              <m:t>,j−</m:t>
            </m:r>
            <m:r>
              <m:rPr>
                <m:sty m:val="p"/>
              </m:rPr>
              <w:rPr>
                <w:rFonts w:hint="eastAsia" w:ascii="Cambria Math"/>
              </w:rPr>
              <m:t>监测</m:t>
            </m:r>
            <m:ctrlPr>
              <w:rPr>
                <w:rFonts w:ascii="Cambria Math" w:hAnsi="宋体"/>
                <w:i/>
                <w:kern w:val="2"/>
                <w:szCs w:val="21"/>
              </w:rPr>
            </m:ctrlPr>
          </m:sub>
        </m:sSub>
      </m:oMath>
      <w:r>
        <w:rPr>
          <w:rFonts w:hint="eastAsia"/>
          <w:kern w:val="2"/>
          <w:szCs w:val="21"/>
        </w:rPr>
        <w:t>——污水集中处理设施</w:t>
      </w:r>
      <w:r>
        <w:rPr>
          <w:rFonts w:hAnsi="宋体"/>
        </w:rPr>
        <w:t>第j项水污染物的</w:t>
      </w:r>
      <w:r>
        <w:rPr>
          <w:rFonts w:hint="eastAsia" w:hAnsi="宋体"/>
        </w:rPr>
        <w:t>监测浓度值；</w:t>
      </w:r>
    </w:p>
    <w:p w14:paraId="0D3315A1">
      <w:pPr>
        <w:pStyle w:val="56"/>
        <w:snapToGrid w:val="0"/>
        <w:ind w:firstLine="420"/>
      </w:pPr>
      <m:oMath>
        <m:sSub>
          <m:sSubPr>
            <m:ctrlPr>
              <w:rPr>
                <w:rFonts w:ascii="Cambria Math" w:hAnsi="宋体"/>
                <w:i/>
                <w:kern w:val="2"/>
                <w:szCs w:val="21"/>
              </w:rPr>
            </m:ctrlPr>
          </m:sSubPr>
          <m:e>
            <m:r>
              <m:rPr/>
              <w:rPr>
                <w:rFonts w:ascii="Cambria Math"/>
              </w:rPr>
              <m:t>C</m:t>
            </m:r>
            <m:ctrlPr>
              <w:rPr>
                <w:rFonts w:ascii="Cambria Math" w:hAnsi="宋体"/>
                <w:i/>
                <w:kern w:val="2"/>
                <w:szCs w:val="21"/>
              </w:rPr>
            </m:ctrlPr>
          </m:e>
          <m:sub>
            <m:r>
              <m:rPr/>
              <w:rPr>
                <w:rFonts w:hint="eastAsia" w:ascii="Cambria Math"/>
              </w:rPr>
              <m:t>wwpt</m:t>
            </m:r>
            <m:r>
              <m:rPr/>
              <w:rPr>
                <w:rFonts w:ascii="Cambria Math"/>
              </w:rPr>
              <m:t>,j−</m:t>
            </m:r>
            <m:r>
              <m:rPr>
                <m:sty m:val="p"/>
              </m:rPr>
              <w:rPr>
                <w:rFonts w:hint="eastAsia" w:ascii="Cambria Math"/>
              </w:rPr>
              <m:t>标准</m:t>
            </m:r>
            <m:ctrlPr>
              <w:rPr>
                <w:rFonts w:ascii="Cambria Math" w:hAnsi="宋体"/>
                <w:i/>
                <w:kern w:val="2"/>
                <w:szCs w:val="21"/>
              </w:rPr>
            </m:ctrlPr>
          </m:sub>
        </m:sSub>
      </m:oMath>
      <w:r>
        <w:rPr>
          <w:rFonts w:hint="eastAsia"/>
          <w:kern w:val="2"/>
          <w:szCs w:val="21"/>
        </w:rPr>
        <w:t>——</w:t>
      </w:r>
      <w:r>
        <w:rPr>
          <w:rFonts w:hint="eastAsia"/>
        </w:rPr>
        <w:t>污水集中处理设施执行的排放标准或许可浓度限值；</w:t>
      </w:r>
    </w:p>
    <w:p w14:paraId="2CDB1E34">
      <w:pPr>
        <w:pStyle w:val="56"/>
        <w:snapToGrid w:val="0"/>
        <w:ind w:firstLine="420"/>
        <w:rPr>
          <w:kern w:val="2"/>
          <w:szCs w:val="21"/>
        </w:rPr>
      </w:pPr>
      <m:oMath>
        <m:sSub>
          <m:sSubPr>
            <m:ctrlPr>
              <w:rPr>
                <w:rFonts w:ascii="Cambria Math" w:hAnsi="宋体"/>
                <w:i/>
                <w:kern w:val="2"/>
                <w:szCs w:val="21"/>
              </w:rPr>
            </m:ctrlPr>
          </m:sSubPr>
          <m:e>
            <m:r>
              <m:rPr/>
              <w:rPr>
                <w:rFonts w:ascii="Cambria Math"/>
              </w:rPr>
              <m:t>C</m:t>
            </m:r>
            <m:ctrlPr>
              <w:rPr>
                <w:rFonts w:ascii="Cambria Math" w:hAnsi="宋体"/>
                <w:i/>
                <w:kern w:val="2"/>
                <w:szCs w:val="21"/>
              </w:rPr>
            </m:ctrlPr>
          </m:e>
          <m:sub>
            <m:r>
              <m:rPr/>
              <w:rPr>
                <w:rFonts w:hint="eastAsia" w:ascii="Cambria Math"/>
              </w:rPr>
              <m:t>wwpt</m:t>
            </m:r>
            <m:r>
              <m:rPr/>
              <w:rPr>
                <w:rFonts w:ascii="Cambria Math"/>
              </w:rPr>
              <m:t>,j−</m:t>
            </m:r>
            <m:r>
              <m:rPr>
                <m:sty m:val="p"/>
              </m:rPr>
              <w:rPr>
                <w:rFonts w:hint="eastAsia" w:ascii="Cambria Math"/>
              </w:rPr>
              <m:t>折算</m:t>
            </m:r>
            <m:ctrlPr>
              <w:rPr>
                <w:rFonts w:ascii="Cambria Math" w:hAnsi="宋体"/>
                <w:i/>
                <w:kern w:val="2"/>
                <w:szCs w:val="21"/>
              </w:rPr>
            </m:ctrlPr>
          </m:sub>
        </m:sSub>
      </m:oMath>
      <w:r>
        <w:rPr>
          <w:rFonts w:hint="eastAsia" w:hAnsi="宋体"/>
        </w:rPr>
        <w:t>见公式（6）；</w:t>
      </w:r>
    </w:p>
    <w:bookmarkEnd w:id="79"/>
    <w:p w14:paraId="5BD866D5">
      <w:pPr>
        <w:pStyle w:val="104"/>
        <w:spacing w:before="312" w:after="312"/>
      </w:pPr>
      <w:bookmarkStart w:id="80" w:name="_Toc234580205"/>
      <w:r>
        <w:rPr>
          <w:rFonts w:hint="eastAsia"/>
        </w:rPr>
        <w:t>协商限值的确定</w:t>
      </w:r>
      <w:bookmarkEnd w:id="80"/>
    </w:p>
    <w:p w14:paraId="1A5A6D3A">
      <w:pPr>
        <w:pStyle w:val="56"/>
        <w:ind w:firstLine="420"/>
      </w:pPr>
      <w:bookmarkStart w:id="81" w:name="_Hlk234915105"/>
      <w:r>
        <w:rPr>
          <w:rFonts w:hint="eastAsia"/>
        </w:rPr>
        <w:t>在满足第5章、第6章和第7章评估结果的基础上，基于6.1.2的公式（2）逆向推导验证结果确定废水碳源综合利用相关污染物限值浓度：</w:t>
      </w:r>
    </w:p>
    <w:p w14:paraId="7CA210AF">
      <w:pPr>
        <w:pStyle w:val="132"/>
      </w:pPr>
      <w:r>
        <w:rPr>
          <w:rFonts w:hint="eastAsia"/>
        </w:rPr>
        <w:t>作为碳源直接利用的，应与污水集中处理设施明确协商污染物浓度限值，签订合同，并应保证废水浓度相对稳定并符合协商要求；</w:t>
      </w:r>
    </w:p>
    <w:p w14:paraId="3B50E631">
      <w:pPr>
        <w:pStyle w:val="132"/>
      </w:pPr>
      <w:r>
        <w:rPr>
          <w:rFonts w:hint="eastAsia"/>
        </w:rPr>
        <w:t>作为碳源间接利用的，应综合考虑工业企业、污水集中处理设施、污水管网运营单位等多方及运行维护成本等因素，协商确定污染物浓度限值，并签订合同。</w:t>
      </w:r>
      <w:bookmarkEnd w:id="81"/>
    </w:p>
    <w:p w14:paraId="60083AA1">
      <w:pPr>
        <w:pStyle w:val="56"/>
        <w:ind w:firstLine="420"/>
      </w:pPr>
    </w:p>
    <w:bookmarkEnd w:id="21"/>
    <w:p w14:paraId="36BE1BA2">
      <w:pPr>
        <w:pStyle w:val="56"/>
        <w:ind w:firstLine="0" w:firstLineChars="0"/>
        <w:jc w:val="center"/>
      </w:pPr>
      <w:bookmarkStart w:id="82" w:name="BookMark8"/>
      <w:r>
        <w:drawing>
          <wp:inline distT="0" distB="0" distL="0" distR="0">
            <wp:extent cx="1485900" cy="317500"/>
            <wp:effectExtent l="0" t="0" r="0" b="6350"/>
            <wp:docPr id="1120479990" name="图片 1"/>
            <wp:cNvGraphicFramePr/>
            <a:graphic xmlns:a="http://schemas.openxmlformats.org/drawingml/2006/main">
              <a:graphicData uri="http://schemas.openxmlformats.org/drawingml/2006/picture">
                <pic:pic xmlns:pic="http://schemas.openxmlformats.org/drawingml/2006/picture">
                  <pic:nvPicPr>
                    <pic:cNvPr id="1120479990" name="图片 1"/>
                    <pic:cNvPicPr/>
                  </pic:nvPicPr>
                  <pic:blipFill>
                    <a:blip r:embed="rId18">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82"/>
    </w:p>
    <w:sectPr>
      <w:pgSz w:w="11906" w:h="16838"/>
      <w:pgMar w:top="1928" w:right="1134" w:bottom="1134" w:left="1134" w:header="1418" w:footer="1134" w:gutter="284"/>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Cambria Math">
    <w:panose1 w:val="02040503050406030204"/>
    <w:charset w:val="00"/>
    <w:family w:val="roman"/>
    <w:pitch w:val="default"/>
    <w:sig w:usb0="E00006FF" w:usb1="420024FF" w:usb2="02000000"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F3B26">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46FD4">
    <w:pPr>
      <w:pStyle w:val="17"/>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C1EB0">
    <w:pPr>
      <w:pStyle w:val="17"/>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48D04">
    <w:pPr>
      <w:pStyle w:val="52"/>
    </w:pPr>
    <w:r>
      <w:fldChar w:fldCharType="begin"/>
    </w:r>
    <w:r>
      <w:instrText xml:space="preserve">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E6D13">
    <w:pPr>
      <w:pStyle w:val="18"/>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4444D">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8E130">
    <w:pPr>
      <w:pStyle w:val="18"/>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65EA2">
    <w:pPr>
      <w:pStyle w:val="61"/>
      <w:rPr>
        <w:rFonts w:hint="eastAsia"/>
      </w:rPr>
    </w:pPr>
    <w:r>
      <w:t xml:space="preserve">DB 31/T 310XXX—XXXXDB 32/T 310XXX—XXXXDB 33/T 310XXX—XXXX </w:t>
    </w:r>
    <w:r>
      <w:fldChar w:fldCharType="begin"/>
    </w:r>
    <w:r>
      <w:instrText xml:space="preserve"> STYLEREF  标准文件_文件编号  \* MERGEFORMAT </w:instrText>
    </w:r>
    <w:r>
      <w:fldChar w:fldCharType="separate"/>
    </w:r>
    <w:r>
      <w:t>DB 34/T 310XXX—XXXX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3496C">
    <w:pPr>
      <w:pStyle w:val="18"/>
      <w:jc w:val="right"/>
      <w:rPr>
        <w:lang w:val="fr-FR"/>
      </w:rPr>
    </w:pPr>
    <w:r>
      <w:fldChar w:fldCharType="begin"/>
    </w:r>
    <w:r>
      <w:rPr>
        <w:lang w:val="fr-FR"/>
      </w:rPr>
      <w:instrText xml:space="preserve"> STYLEREF  </w:instrText>
    </w:r>
    <w:r>
      <w:instrText xml:space="preserve">标准文件</w:instrText>
    </w:r>
    <w:r>
      <w:rPr>
        <w:lang w:val="fr-FR"/>
      </w:rPr>
      <w:instrText xml:space="preserve">_</w:instrText>
    </w:r>
    <w:r>
      <w:instrText xml:space="preserve">文件编号</w:instrText>
    </w:r>
    <w:r>
      <w:rPr>
        <w:lang w:val="fr-FR"/>
      </w:rPr>
      <w:instrText xml:space="preserve">  \* MERGEFORMAT </w:instrText>
    </w:r>
    <w:r>
      <w:fldChar w:fldCharType="separate"/>
    </w:r>
    <w:r>
      <w:rPr>
        <w:lang w:val="fr-FR"/>
      </w:rPr>
      <w:t>DB 34/T 310XXX—XXXX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4"/>
      <w:lvlText w:val="[%1]"/>
      <w:lvlJc w:val="left"/>
      <w:pPr>
        <w:tabs>
          <w:tab w:val="left" w:pos="5615"/>
        </w:tabs>
        <w:ind w:left="5615" w:hanging="648"/>
      </w:pPr>
    </w:lvl>
    <w:lvl w:ilvl="1" w:tentative="0">
      <w:start w:val="1"/>
      <w:numFmt w:val="lowerLetter"/>
      <w:lvlText w:val="%2)"/>
      <w:lvlJc w:val="left"/>
      <w:pPr>
        <w:tabs>
          <w:tab w:val="left" w:pos="5807"/>
        </w:tabs>
        <w:ind w:left="5807" w:hanging="420"/>
      </w:pPr>
    </w:lvl>
    <w:lvl w:ilvl="2" w:tentative="0">
      <w:start w:val="1"/>
      <w:numFmt w:val="lowerRoman"/>
      <w:lvlText w:val="%3."/>
      <w:lvlJc w:val="right"/>
      <w:pPr>
        <w:tabs>
          <w:tab w:val="left" w:pos="6227"/>
        </w:tabs>
        <w:ind w:left="6227" w:hanging="420"/>
      </w:pPr>
    </w:lvl>
    <w:lvl w:ilvl="3" w:tentative="0">
      <w:start w:val="1"/>
      <w:numFmt w:val="decimal"/>
      <w:lvlText w:val="%4."/>
      <w:lvlJc w:val="left"/>
      <w:pPr>
        <w:tabs>
          <w:tab w:val="left" w:pos="6647"/>
        </w:tabs>
        <w:ind w:left="6647" w:hanging="420"/>
      </w:pPr>
    </w:lvl>
    <w:lvl w:ilvl="4" w:tentative="0">
      <w:start w:val="1"/>
      <w:numFmt w:val="lowerLetter"/>
      <w:lvlText w:val="%5)"/>
      <w:lvlJc w:val="left"/>
      <w:pPr>
        <w:tabs>
          <w:tab w:val="left" w:pos="7067"/>
        </w:tabs>
        <w:ind w:left="7067" w:hanging="420"/>
      </w:pPr>
    </w:lvl>
    <w:lvl w:ilvl="5" w:tentative="0">
      <w:start w:val="1"/>
      <w:numFmt w:val="lowerRoman"/>
      <w:lvlText w:val="%6."/>
      <w:lvlJc w:val="right"/>
      <w:pPr>
        <w:tabs>
          <w:tab w:val="left" w:pos="7487"/>
        </w:tabs>
        <w:ind w:left="7487" w:hanging="420"/>
      </w:pPr>
    </w:lvl>
    <w:lvl w:ilvl="6" w:tentative="0">
      <w:start w:val="1"/>
      <w:numFmt w:val="decimal"/>
      <w:lvlText w:val="%7."/>
      <w:lvlJc w:val="left"/>
      <w:pPr>
        <w:tabs>
          <w:tab w:val="left" w:pos="7907"/>
        </w:tabs>
        <w:ind w:left="7907" w:hanging="420"/>
      </w:pPr>
    </w:lvl>
    <w:lvl w:ilvl="7" w:tentative="0">
      <w:start w:val="1"/>
      <w:numFmt w:val="lowerLetter"/>
      <w:lvlText w:val="%8)"/>
      <w:lvlJc w:val="left"/>
      <w:pPr>
        <w:tabs>
          <w:tab w:val="left" w:pos="8327"/>
        </w:tabs>
        <w:ind w:left="8327" w:hanging="420"/>
      </w:pPr>
    </w:lvl>
    <w:lvl w:ilvl="8" w:tentative="0">
      <w:start w:val="1"/>
      <w:numFmt w:val="lowerRoman"/>
      <w:lvlText w:val="%9."/>
      <w:lvlJc w:val="right"/>
      <w:pPr>
        <w:tabs>
          <w:tab w:val="left" w:pos="8747"/>
        </w:tabs>
        <w:ind w:left="8747"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118"/>
      <w:suff w:val="nothing"/>
      <w:lvlText w:val="%1%2.%3.%4　"/>
      <w:lvlJc w:val="left"/>
      <w:pPr>
        <w:ind w:left="0" w:firstLine="0"/>
      </w:pPr>
    </w:lvl>
    <w:lvl w:ilvl="4" w:tentative="0">
      <w:start w:val="1"/>
      <w:numFmt w:val="decimal"/>
      <w:pStyle w:val="153"/>
      <w:suff w:val="nothing"/>
      <w:lvlText w:val="%1%2.%3.%4.%5　"/>
      <w:lvlJc w:val="left"/>
      <w:pPr>
        <w:ind w:left="0" w:firstLine="0"/>
      </w:pPr>
    </w:lvl>
    <w:lvl w:ilvl="5" w:tentative="0">
      <w:start w:val="1"/>
      <w:numFmt w:val="decimal"/>
      <w:pStyle w:val="155"/>
      <w:suff w:val="nothing"/>
      <w:lvlText w:val="%1%2.%3.%4.%5.%6　"/>
      <w:lvlJc w:val="left"/>
      <w:pPr>
        <w:ind w:left="0" w:firstLine="0"/>
      </w:pPr>
    </w:lvl>
    <w:lvl w:ilvl="6" w:tentative="0">
      <w:start w:val="1"/>
      <w:numFmt w:val="decimal"/>
      <w:pStyle w:val="158"/>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0"/>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89"/>
      <w:lvlText w:val="%1"/>
      <w:lvlJc w:val="left"/>
      <w:pPr>
        <w:ind w:left="425" w:hanging="425"/>
      </w:pPr>
      <w:rPr>
        <w:rFonts w:hint="eastAsia"/>
      </w:rPr>
    </w:lvl>
    <w:lvl w:ilvl="1" w:tentative="0">
      <w:start w:val="1"/>
      <w:numFmt w:val="decimal"/>
      <w:pStyle w:val="200"/>
      <w:suff w:val="nothing"/>
      <w:lvlText w:val="%10.%2 "/>
      <w:lvlJc w:val="left"/>
      <w:pPr>
        <w:ind w:left="0" w:firstLine="0"/>
      </w:pPr>
      <w:rPr>
        <w:rFonts w:hint="eastAsia" w:ascii="黑体" w:eastAsia="黑体" w:hAnsiTheme="minorHAnsi"/>
        <w:b w:val="0"/>
        <w:i w:val="0"/>
        <w:sz w:val="21"/>
      </w:rPr>
    </w:lvl>
    <w:lvl w:ilvl="2" w:tentative="0">
      <w:start w:val="1"/>
      <w:numFmt w:val="decimal"/>
      <w:pStyle w:val="201"/>
      <w:suff w:val="nothing"/>
      <w:lvlText w:val="%10.%2.%3 "/>
      <w:lvlJc w:val="left"/>
      <w:pPr>
        <w:ind w:left="0" w:firstLine="0"/>
      </w:pPr>
      <w:rPr>
        <w:rFonts w:hint="eastAsia" w:ascii="黑体" w:eastAsia="黑体" w:hAnsiTheme="minorHAnsi"/>
        <w:b w:val="0"/>
        <w:i w:val="0"/>
        <w:sz w:val="21"/>
      </w:rPr>
    </w:lvl>
    <w:lvl w:ilvl="3" w:tentative="0">
      <w:start w:val="1"/>
      <w:numFmt w:val="decimal"/>
      <w:pStyle w:val="202"/>
      <w:suff w:val="nothing"/>
      <w:lvlText w:val="%10.%2.%3.%4 "/>
      <w:lvlJc w:val="left"/>
      <w:pPr>
        <w:ind w:left="0" w:firstLine="0"/>
      </w:pPr>
      <w:rPr>
        <w:rFonts w:hint="eastAsia" w:ascii="黑体" w:eastAsia="黑体" w:hAnsiTheme="minorHAnsi"/>
        <w:b w:val="0"/>
        <w:i w:val="0"/>
        <w:sz w:val="21"/>
      </w:rPr>
    </w:lvl>
    <w:lvl w:ilvl="4" w:tentative="0">
      <w:start w:val="1"/>
      <w:numFmt w:val="decimal"/>
      <w:pStyle w:val="203"/>
      <w:suff w:val="nothing"/>
      <w:lvlText w:val="%10.%2.%3.%4.%5 "/>
      <w:lvlJc w:val="left"/>
      <w:pPr>
        <w:ind w:left="0" w:firstLine="0"/>
      </w:pPr>
      <w:rPr>
        <w:rFonts w:hint="eastAsia" w:ascii="黑体" w:eastAsia="黑体" w:hAnsiTheme="minorHAnsi"/>
        <w:b w:val="0"/>
        <w:i w:val="0"/>
        <w:sz w:val="21"/>
      </w:rPr>
    </w:lvl>
    <w:lvl w:ilvl="5" w:tentative="0">
      <w:start w:val="1"/>
      <w:numFmt w:val="decimal"/>
      <w:pStyle w:val="204"/>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1"/>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5"/>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2"/>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7"/>
      <w:lvlText w:val=""/>
      <w:lvlJc w:val="left"/>
      <w:pPr>
        <w:ind w:left="851" w:hanging="431"/>
      </w:pPr>
      <w:rPr>
        <w:rFonts w:hint="default" w:ascii="Symbol" w:hAnsi="Symbol"/>
        <w:sz w:val="21"/>
      </w:rPr>
    </w:lvl>
    <w:lvl w:ilvl="2" w:tentative="0">
      <w:start w:val="1"/>
      <w:numFmt w:val="bullet"/>
      <w:pStyle w:val="172"/>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4"/>
      <w:lvlText w:val="%1)"/>
      <w:lvlJc w:val="left"/>
      <w:pPr>
        <w:tabs>
          <w:tab w:val="left" w:pos="851"/>
        </w:tabs>
        <w:ind w:left="851" w:hanging="426"/>
      </w:pPr>
      <w:rPr>
        <w:rFonts w:hint="eastAsia" w:ascii="宋体" w:hAnsi="Times New Roman" w:eastAsia="宋体"/>
        <w:sz w:val="21"/>
      </w:rPr>
    </w:lvl>
    <w:lvl w:ilvl="1" w:tentative="0">
      <w:start w:val="1"/>
      <w:numFmt w:val="decimal"/>
      <w:pStyle w:val="109"/>
      <w:lvlText w:val="%2)"/>
      <w:lvlJc w:val="left"/>
      <w:pPr>
        <w:tabs>
          <w:tab w:val="left" w:pos="1276"/>
        </w:tabs>
        <w:ind w:left="1276" w:hanging="425"/>
      </w:pPr>
      <w:rPr>
        <w:rFonts w:hint="eastAsia" w:ascii="宋体" w:hAnsi="Times New Roman" w:eastAsia="宋体"/>
        <w:sz w:val="21"/>
      </w:rPr>
    </w:lvl>
    <w:lvl w:ilvl="2" w:tentative="0">
      <w:start w:val="1"/>
      <w:numFmt w:val="decimal"/>
      <w:pStyle w:val="117"/>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8"/>
      <w:lvlText w:val="%1"/>
      <w:lvlJc w:val="left"/>
      <w:pPr>
        <w:ind w:left="420" w:hanging="420"/>
      </w:pPr>
      <w:rPr>
        <w:rFonts w:hint="eastAsia"/>
      </w:rPr>
    </w:lvl>
    <w:lvl w:ilvl="1" w:tentative="0">
      <w:start w:val="1"/>
      <w:numFmt w:val="decimal"/>
      <w:pStyle w:val="83"/>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3"/>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6"/>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4"/>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199"/>
      <w:suff w:val="space"/>
      <w:lvlText w:val="%1"/>
      <w:lvlJc w:val="left"/>
      <w:pPr>
        <w:ind w:left="425" w:hanging="425"/>
      </w:pPr>
      <w:rPr>
        <w:rFonts w:hint="eastAsia"/>
      </w:rPr>
    </w:lvl>
    <w:lvl w:ilvl="1" w:tentative="0">
      <w:start w:val="1"/>
      <w:numFmt w:val="decimal"/>
      <w:pStyle w:val="77"/>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1"/>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6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2"/>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89"/>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6"/>
      <w:suff w:val="nothing"/>
      <w:lvlText w:val="附录%1"/>
      <w:lvlJc w:val="left"/>
      <w:pPr>
        <w:ind w:left="0" w:firstLine="0"/>
      </w:pPr>
      <w:rPr>
        <w:rFonts w:hint="eastAsia"/>
        <w:spacing w:val="100"/>
      </w:rPr>
    </w:lvl>
    <w:lvl w:ilvl="1" w:tentative="0">
      <w:start w:val="1"/>
      <w:numFmt w:val="decimal"/>
      <w:pStyle w:val="78"/>
      <w:suff w:val="nothing"/>
      <w:lvlText w:val="%1.%2　"/>
      <w:lvlJc w:val="left"/>
      <w:pPr>
        <w:ind w:left="0" w:firstLine="0"/>
      </w:pPr>
      <w:rPr>
        <w:rFonts w:hint="eastAsia" w:ascii="黑体" w:eastAsia="黑体"/>
        <w:b w:val="0"/>
        <w:i w:val="0"/>
        <w:sz w:val="21"/>
      </w:rPr>
    </w:lvl>
    <w:lvl w:ilvl="2" w:tentative="0">
      <w:start w:val="1"/>
      <w:numFmt w:val="decimal"/>
      <w:pStyle w:val="79"/>
      <w:suff w:val="nothing"/>
      <w:lvlText w:val="%1.%2.%3　"/>
      <w:lvlJc w:val="left"/>
      <w:pPr>
        <w:ind w:left="0" w:firstLine="0"/>
      </w:pPr>
      <w:rPr>
        <w:rFonts w:hint="eastAsia" w:ascii="黑体" w:eastAsia="黑体"/>
        <w:b w:val="0"/>
        <w:i w:val="0"/>
        <w:sz w:val="21"/>
      </w:rPr>
    </w:lvl>
    <w:lvl w:ilvl="3" w:tentative="0">
      <w:start w:val="1"/>
      <w:numFmt w:val="decimal"/>
      <w:pStyle w:val="81"/>
      <w:suff w:val="nothing"/>
      <w:lvlText w:val="%1.%2.%3.%4　"/>
      <w:lvlJc w:val="left"/>
      <w:pPr>
        <w:ind w:left="0" w:firstLine="0"/>
      </w:pPr>
      <w:rPr>
        <w:rFonts w:hint="eastAsia" w:ascii="黑体" w:eastAsia="黑体"/>
        <w:b w:val="0"/>
        <w:i w:val="0"/>
        <w:sz w:val="21"/>
      </w:rPr>
    </w:lvl>
    <w:lvl w:ilvl="4" w:tentative="0">
      <w:start w:val="1"/>
      <w:numFmt w:val="decimal"/>
      <w:pStyle w:val="82"/>
      <w:suff w:val="nothing"/>
      <w:lvlText w:val="%1.%2.%3.%4.%5　"/>
      <w:lvlJc w:val="left"/>
      <w:pPr>
        <w:ind w:left="0" w:firstLine="0"/>
      </w:pPr>
      <w:rPr>
        <w:rFonts w:hint="eastAsia" w:ascii="黑体" w:eastAsia="黑体"/>
        <w:b w:val="0"/>
        <w:i w:val="0"/>
        <w:sz w:val="21"/>
      </w:rPr>
    </w:lvl>
    <w:lvl w:ilvl="5" w:tentative="0">
      <w:start w:val="1"/>
      <w:numFmt w:val="decimal"/>
      <w:pStyle w:val="84"/>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88"/>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9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2"/>
      <w:suff w:val="nothing"/>
      <w:lvlText w:val="%1"/>
      <w:lvlJc w:val="left"/>
      <w:pPr>
        <w:ind w:left="0" w:firstLine="0"/>
      </w:pPr>
      <w:rPr>
        <w:rFonts w:hint="eastAsia"/>
      </w:rPr>
    </w:lvl>
    <w:lvl w:ilvl="1" w:tentative="0">
      <w:start w:val="1"/>
      <w:numFmt w:val="decimal"/>
      <w:pStyle w:val="104"/>
      <w:suff w:val="nothing"/>
      <w:lvlText w:val="%1%2　"/>
      <w:lvlJc w:val="left"/>
      <w:pPr>
        <w:ind w:left="0" w:firstLine="0"/>
      </w:pPr>
      <w:rPr>
        <w:rFonts w:hint="eastAsia" w:ascii="黑体" w:eastAsia="黑体"/>
        <w:b w:val="0"/>
        <w:i w:val="0"/>
        <w:sz w:val="21"/>
      </w:rPr>
    </w:lvl>
    <w:lvl w:ilvl="2" w:tentative="0">
      <w:start w:val="1"/>
      <w:numFmt w:val="decimal"/>
      <w:pStyle w:val="10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3" w:tentative="0">
      <w:start w:val="1"/>
      <w:numFmt w:val="decimal"/>
      <w:pStyle w:val="65"/>
      <w:suff w:val="nothing"/>
      <w:lvlText w:val="%1%2.%3.%4　"/>
      <w:lvlJc w:val="left"/>
      <w:pPr>
        <w:ind w:left="0" w:firstLine="0"/>
      </w:pPr>
      <w:rPr>
        <w:rFonts w:hint="eastAsia" w:ascii="黑体" w:eastAsia="黑体"/>
        <w:b w:val="0"/>
        <w:i w:val="0"/>
        <w:sz w:val="21"/>
      </w:rPr>
    </w:lvl>
    <w:lvl w:ilvl="4" w:tentative="0">
      <w:start w:val="1"/>
      <w:numFmt w:val="decimal"/>
      <w:pStyle w:val="94"/>
      <w:suff w:val="nothing"/>
      <w:lvlText w:val="%1%2.%3.%4.%5　"/>
      <w:lvlJc w:val="left"/>
      <w:pPr>
        <w:ind w:left="0"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pStyle w:val="10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79"/>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5"/>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39"/>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attachedTemplate r:id="rId1"/>
  <w:documentProtection w:edit="forms" w:enforcement="0"/>
  <w:defaultTabStop w:val="420"/>
  <w:drawingGridHorizontalSpacing w:val="105"/>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C69"/>
    <w:rsid w:val="0000040A"/>
    <w:rsid w:val="00000A94"/>
    <w:rsid w:val="00001972"/>
    <w:rsid w:val="00001D0D"/>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46AE"/>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56EC"/>
    <w:rsid w:val="000E6FD7"/>
    <w:rsid w:val="000F06E1"/>
    <w:rsid w:val="000F0E3C"/>
    <w:rsid w:val="000F19D5"/>
    <w:rsid w:val="000F4AEA"/>
    <w:rsid w:val="000F633F"/>
    <w:rsid w:val="000F67E9"/>
    <w:rsid w:val="00104926"/>
    <w:rsid w:val="00113B1E"/>
    <w:rsid w:val="0011711C"/>
    <w:rsid w:val="0012059C"/>
    <w:rsid w:val="00124E4F"/>
    <w:rsid w:val="001260B7"/>
    <w:rsid w:val="001265CB"/>
    <w:rsid w:val="001321C6"/>
    <w:rsid w:val="001325C4"/>
    <w:rsid w:val="00133010"/>
    <w:rsid w:val="001338EE"/>
    <w:rsid w:val="00133AAE"/>
    <w:rsid w:val="00135323"/>
    <w:rsid w:val="001356C4"/>
    <w:rsid w:val="00136B14"/>
    <w:rsid w:val="00141114"/>
    <w:rsid w:val="00141F32"/>
    <w:rsid w:val="00142969"/>
    <w:rsid w:val="001446C2"/>
    <w:rsid w:val="001457E7"/>
    <w:rsid w:val="00145D9D"/>
    <w:rsid w:val="00146388"/>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1A43"/>
    <w:rsid w:val="001852C9"/>
    <w:rsid w:val="00190087"/>
    <w:rsid w:val="001913C4"/>
    <w:rsid w:val="0019348F"/>
    <w:rsid w:val="00193A07"/>
    <w:rsid w:val="00194C95"/>
    <w:rsid w:val="00195C34"/>
    <w:rsid w:val="00196EF5"/>
    <w:rsid w:val="001A1A53"/>
    <w:rsid w:val="001A234A"/>
    <w:rsid w:val="001A4CF3"/>
    <w:rsid w:val="001B06E8"/>
    <w:rsid w:val="001B71D0"/>
    <w:rsid w:val="001B71EE"/>
    <w:rsid w:val="001C0301"/>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0EA3"/>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10B15"/>
    <w:rsid w:val="002142EA"/>
    <w:rsid w:val="002204BB"/>
    <w:rsid w:val="00221B79"/>
    <w:rsid w:val="00221C6B"/>
    <w:rsid w:val="00224208"/>
    <w:rsid w:val="002253A1"/>
    <w:rsid w:val="00225CF8"/>
    <w:rsid w:val="0022794E"/>
    <w:rsid w:val="00233D64"/>
    <w:rsid w:val="0023482A"/>
    <w:rsid w:val="002359CB"/>
    <w:rsid w:val="00237EF4"/>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771AC"/>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1E1C"/>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D2A"/>
    <w:rsid w:val="00324EDD"/>
    <w:rsid w:val="003331E4"/>
    <w:rsid w:val="00336C64"/>
    <w:rsid w:val="00337162"/>
    <w:rsid w:val="0034194F"/>
    <w:rsid w:val="00344605"/>
    <w:rsid w:val="003474AA"/>
    <w:rsid w:val="00350D1D"/>
    <w:rsid w:val="00352C83"/>
    <w:rsid w:val="0036140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B09AD"/>
    <w:rsid w:val="003B1F18"/>
    <w:rsid w:val="003B5BF0"/>
    <w:rsid w:val="003B60BF"/>
    <w:rsid w:val="003B6BE3"/>
    <w:rsid w:val="003C010C"/>
    <w:rsid w:val="003C0A6C"/>
    <w:rsid w:val="003C14F8"/>
    <w:rsid w:val="003C5900"/>
    <w:rsid w:val="003C5A43"/>
    <w:rsid w:val="003D0519"/>
    <w:rsid w:val="003D0FF6"/>
    <w:rsid w:val="003D262C"/>
    <w:rsid w:val="003D6D61"/>
    <w:rsid w:val="003D79C6"/>
    <w:rsid w:val="003E091D"/>
    <w:rsid w:val="003E1C53"/>
    <w:rsid w:val="003E2A69"/>
    <w:rsid w:val="003E2D49"/>
    <w:rsid w:val="003E2FD4"/>
    <w:rsid w:val="003E49F6"/>
    <w:rsid w:val="003E660F"/>
    <w:rsid w:val="003F0841"/>
    <w:rsid w:val="003F23D3"/>
    <w:rsid w:val="003F3F08"/>
    <w:rsid w:val="003F49F1"/>
    <w:rsid w:val="003F6272"/>
    <w:rsid w:val="003F6881"/>
    <w:rsid w:val="00400E72"/>
    <w:rsid w:val="00401400"/>
    <w:rsid w:val="00404869"/>
    <w:rsid w:val="00405884"/>
    <w:rsid w:val="00407D39"/>
    <w:rsid w:val="0041064D"/>
    <w:rsid w:val="0041477A"/>
    <w:rsid w:val="004167A3"/>
    <w:rsid w:val="00432DAA"/>
    <w:rsid w:val="00434305"/>
    <w:rsid w:val="00435DF7"/>
    <w:rsid w:val="0044083F"/>
    <w:rsid w:val="00441AE7"/>
    <w:rsid w:val="00441D3C"/>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7E6"/>
    <w:rsid w:val="004A1BA8"/>
    <w:rsid w:val="004A4B57"/>
    <w:rsid w:val="004A63FA"/>
    <w:rsid w:val="004B0272"/>
    <w:rsid w:val="004B2701"/>
    <w:rsid w:val="004B2E1B"/>
    <w:rsid w:val="004B3AA8"/>
    <w:rsid w:val="004B3E93"/>
    <w:rsid w:val="004C1FBC"/>
    <w:rsid w:val="004C3F1D"/>
    <w:rsid w:val="004C458D"/>
    <w:rsid w:val="004C7556"/>
    <w:rsid w:val="004C7E8B"/>
    <w:rsid w:val="004C7E9D"/>
    <w:rsid w:val="004C7F67"/>
    <w:rsid w:val="004D076D"/>
    <w:rsid w:val="004D0EF1"/>
    <w:rsid w:val="004D2253"/>
    <w:rsid w:val="004D4406"/>
    <w:rsid w:val="004D568F"/>
    <w:rsid w:val="004D7C42"/>
    <w:rsid w:val="004E0465"/>
    <w:rsid w:val="004E127B"/>
    <w:rsid w:val="004E1C0A"/>
    <w:rsid w:val="004E2B06"/>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487B"/>
    <w:rsid w:val="00564FB9"/>
    <w:rsid w:val="00573D9E"/>
    <w:rsid w:val="005801E3"/>
    <w:rsid w:val="00581802"/>
    <w:rsid w:val="005836A8"/>
    <w:rsid w:val="0058409C"/>
    <w:rsid w:val="00584262"/>
    <w:rsid w:val="00586630"/>
    <w:rsid w:val="00587ADD"/>
    <w:rsid w:val="00591E27"/>
    <w:rsid w:val="00596160"/>
    <w:rsid w:val="005966E2"/>
    <w:rsid w:val="00597007"/>
    <w:rsid w:val="005A0966"/>
    <w:rsid w:val="005A11B7"/>
    <w:rsid w:val="005A260B"/>
    <w:rsid w:val="005A4A1B"/>
    <w:rsid w:val="005A7830"/>
    <w:rsid w:val="005A7FCE"/>
    <w:rsid w:val="005B0F3F"/>
    <w:rsid w:val="005B34EF"/>
    <w:rsid w:val="005B4903"/>
    <w:rsid w:val="005B51CE"/>
    <w:rsid w:val="005B5885"/>
    <w:rsid w:val="005B5CD7"/>
    <w:rsid w:val="005B6CF6"/>
    <w:rsid w:val="005B7422"/>
    <w:rsid w:val="005C29B8"/>
    <w:rsid w:val="005C5342"/>
    <w:rsid w:val="005C5F21"/>
    <w:rsid w:val="005C7156"/>
    <w:rsid w:val="005D0C75"/>
    <w:rsid w:val="005D4171"/>
    <w:rsid w:val="005D6A95"/>
    <w:rsid w:val="005D6B2C"/>
    <w:rsid w:val="005D6D9C"/>
    <w:rsid w:val="005E2335"/>
    <w:rsid w:val="005E34CA"/>
    <w:rsid w:val="005E3C18"/>
    <w:rsid w:val="005E4D3D"/>
    <w:rsid w:val="005E6812"/>
    <w:rsid w:val="005E7881"/>
    <w:rsid w:val="005E78E0"/>
    <w:rsid w:val="005F0D9C"/>
    <w:rsid w:val="005F284E"/>
    <w:rsid w:val="005F4712"/>
    <w:rsid w:val="006015CE"/>
    <w:rsid w:val="00604784"/>
    <w:rsid w:val="00606419"/>
    <w:rsid w:val="00607D29"/>
    <w:rsid w:val="00612952"/>
    <w:rsid w:val="00614CC1"/>
    <w:rsid w:val="00615A9D"/>
    <w:rsid w:val="00617387"/>
    <w:rsid w:val="006205D6"/>
    <w:rsid w:val="006252D8"/>
    <w:rsid w:val="006259BC"/>
    <w:rsid w:val="0062636B"/>
    <w:rsid w:val="00630644"/>
    <w:rsid w:val="00632182"/>
    <w:rsid w:val="00632AE0"/>
    <w:rsid w:val="00633C17"/>
    <w:rsid w:val="00634D9E"/>
    <w:rsid w:val="00636E3E"/>
    <w:rsid w:val="006379F7"/>
    <w:rsid w:val="00637E4D"/>
    <w:rsid w:val="00640620"/>
    <w:rsid w:val="00641A1F"/>
    <w:rsid w:val="00645904"/>
    <w:rsid w:val="00646CA2"/>
    <w:rsid w:val="00651ACB"/>
    <w:rsid w:val="00651C47"/>
    <w:rsid w:val="00652AB2"/>
    <w:rsid w:val="00653F8D"/>
    <w:rsid w:val="00653FED"/>
    <w:rsid w:val="006545A1"/>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0A85"/>
    <w:rsid w:val="006816A4"/>
    <w:rsid w:val="006819B8"/>
    <w:rsid w:val="006840A6"/>
    <w:rsid w:val="006850CD"/>
    <w:rsid w:val="00685AAB"/>
    <w:rsid w:val="00695D22"/>
    <w:rsid w:val="006A07AA"/>
    <w:rsid w:val="006A25E5"/>
    <w:rsid w:val="006A2B46"/>
    <w:rsid w:val="006A336D"/>
    <w:rsid w:val="006A37B9"/>
    <w:rsid w:val="006B1403"/>
    <w:rsid w:val="006B2672"/>
    <w:rsid w:val="006B54BF"/>
    <w:rsid w:val="006B5F44"/>
    <w:rsid w:val="006B5F90"/>
    <w:rsid w:val="006B62E4"/>
    <w:rsid w:val="006C1BBA"/>
    <w:rsid w:val="006C2079"/>
    <w:rsid w:val="006C5A62"/>
    <w:rsid w:val="006C5D68"/>
    <w:rsid w:val="006C6976"/>
    <w:rsid w:val="006C6DD0"/>
    <w:rsid w:val="006D04EA"/>
    <w:rsid w:val="006D0AB7"/>
    <w:rsid w:val="006D16C4"/>
    <w:rsid w:val="006D3E96"/>
    <w:rsid w:val="006D4515"/>
    <w:rsid w:val="006D4BB1"/>
    <w:rsid w:val="006D6593"/>
    <w:rsid w:val="006E23EA"/>
    <w:rsid w:val="006F03A8"/>
    <w:rsid w:val="006F2ACA"/>
    <w:rsid w:val="006F2ADC"/>
    <w:rsid w:val="006F2BFE"/>
    <w:rsid w:val="006F31E9"/>
    <w:rsid w:val="006F6284"/>
    <w:rsid w:val="007002C5"/>
    <w:rsid w:val="00704387"/>
    <w:rsid w:val="00707669"/>
    <w:rsid w:val="00711CBA"/>
    <w:rsid w:val="00711FB5"/>
    <w:rsid w:val="00712A01"/>
    <w:rsid w:val="00714F58"/>
    <w:rsid w:val="00722B1E"/>
    <w:rsid w:val="00722FBF"/>
    <w:rsid w:val="00722FC2"/>
    <w:rsid w:val="00722FF3"/>
    <w:rsid w:val="00724879"/>
    <w:rsid w:val="00724E1B"/>
    <w:rsid w:val="0072524D"/>
    <w:rsid w:val="00725949"/>
    <w:rsid w:val="00727FA2"/>
    <w:rsid w:val="007322D9"/>
    <w:rsid w:val="00732BC0"/>
    <w:rsid w:val="0073720F"/>
    <w:rsid w:val="00737796"/>
    <w:rsid w:val="0074165C"/>
    <w:rsid w:val="00742C35"/>
    <w:rsid w:val="007432CA"/>
    <w:rsid w:val="007439EB"/>
    <w:rsid w:val="00743CB4"/>
    <w:rsid w:val="00743F0A"/>
    <w:rsid w:val="00744121"/>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77BDE"/>
    <w:rsid w:val="0078114B"/>
    <w:rsid w:val="00781DD2"/>
    <w:rsid w:val="00783ECF"/>
    <w:rsid w:val="0078413A"/>
    <w:rsid w:val="007959E8"/>
    <w:rsid w:val="00795E9C"/>
    <w:rsid w:val="007A0521"/>
    <w:rsid w:val="007A2E12"/>
    <w:rsid w:val="007A3475"/>
    <w:rsid w:val="007A41C8"/>
    <w:rsid w:val="007A54CE"/>
    <w:rsid w:val="007A6FD9"/>
    <w:rsid w:val="007A7FFA"/>
    <w:rsid w:val="007B04EB"/>
    <w:rsid w:val="007B0D4F"/>
    <w:rsid w:val="007B5A3D"/>
    <w:rsid w:val="007B5B95"/>
    <w:rsid w:val="007B68EA"/>
    <w:rsid w:val="007B7453"/>
    <w:rsid w:val="007C1E8B"/>
    <w:rsid w:val="007C2D89"/>
    <w:rsid w:val="007C4593"/>
    <w:rsid w:val="007C5309"/>
    <w:rsid w:val="007C6069"/>
    <w:rsid w:val="007C72F0"/>
    <w:rsid w:val="007D06C4"/>
    <w:rsid w:val="007D1352"/>
    <w:rsid w:val="007D2508"/>
    <w:rsid w:val="007D346A"/>
    <w:rsid w:val="007D3882"/>
    <w:rsid w:val="007D6518"/>
    <w:rsid w:val="007D76BD"/>
    <w:rsid w:val="007E0BF1"/>
    <w:rsid w:val="007F0ED8"/>
    <w:rsid w:val="007F0F63"/>
    <w:rsid w:val="007F201F"/>
    <w:rsid w:val="007F75CE"/>
    <w:rsid w:val="008013A4"/>
    <w:rsid w:val="0080207A"/>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73D3"/>
    <w:rsid w:val="00840617"/>
    <w:rsid w:val="00840F84"/>
    <w:rsid w:val="00842A47"/>
    <w:rsid w:val="00843C13"/>
    <w:rsid w:val="008454F8"/>
    <w:rsid w:val="0085173A"/>
    <w:rsid w:val="00856316"/>
    <w:rsid w:val="00856AD4"/>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B0C9C"/>
    <w:rsid w:val="008B0E1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6FC"/>
    <w:rsid w:val="008F17A3"/>
    <w:rsid w:val="008F1ED3"/>
    <w:rsid w:val="008F23A5"/>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F5"/>
    <w:rsid w:val="009249EC"/>
    <w:rsid w:val="009273B3"/>
    <w:rsid w:val="009305B5"/>
    <w:rsid w:val="009429D5"/>
    <w:rsid w:val="00942BF1"/>
    <w:rsid w:val="00945180"/>
    <w:rsid w:val="00945428"/>
    <w:rsid w:val="0094607B"/>
    <w:rsid w:val="00953604"/>
    <w:rsid w:val="0095496B"/>
    <w:rsid w:val="009610DC"/>
    <w:rsid w:val="00961490"/>
    <w:rsid w:val="0096381A"/>
    <w:rsid w:val="00965E04"/>
    <w:rsid w:val="009674AD"/>
    <w:rsid w:val="00970CDC"/>
    <w:rsid w:val="00977010"/>
    <w:rsid w:val="00977D02"/>
    <w:rsid w:val="009809BB"/>
    <w:rsid w:val="0098364B"/>
    <w:rsid w:val="009911AF"/>
    <w:rsid w:val="00991875"/>
    <w:rsid w:val="00991F92"/>
    <w:rsid w:val="00992985"/>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46F9"/>
    <w:rsid w:val="009B6029"/>
    <w:rsid w:val="009B6971"/>
    <w:rsid w:val="009C27F1"/>
    <w:rsid w:val="009C3152"/>
    <w:rsid w:val="009C4CFA"/>
    <w:rsid w:val="009C5070"/>
    <w:rsid w:val="009D112C"/>
    <w:rsid w:val="009D47FA"/>
    <w:rsid w:val="009D4C5B"/>
    <w:rsid w:val="009D50D2"/>
    <w:rsid w:val="009D6BCA"/>
    <w:rsid w:val="009E0F62"/>
    <w:rsid w:val="009E4A58"/>
    <w:rsid w:val="009E5A2D"/>
    <w:rsid w:val="009E5AB2"/>
    <w:rsid w:val="009E6219"/>
    <w:rsid w:val="009E7C33"/>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56BB"/>
    <w:rsid w:val="00A77CCB"/>
    <w:rsid w:val="00A83D8D"/>
    <w:rsid w:val="00A8446B"/>
    <w:rsid w:val="00A8473F"/>
    <w:rsid w:val="00A862D6"/>
    <w:rsid w:val="00A8715E"/>
    <w:rsid w:val="00A9295B"/>
    <w:rsid w:val="00A93B09"/>
    <w:rsid w:val="00A94247"/>
    <w:rsid w:val="00A952D7"/>
    <w:rsid w:val="00A963F7"/>
    <w:rsid w:val="00A96AD8"/>
    <w:rsid w:val="00AA052C"/>
    <w:rsid w:val="00AA1E45"/>
    <w:rsid w:val="00AA4286"/>
    <w:rsid w:val="00AA456B"/>
    <w:rsid w:val="00AA57F5"/>
    <w:rsid w:val="00AA672E"/>
    <w:rsid w:val="00AA6EC9"/>
    <w:rsid w:val="00AB41D5"/>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37E5"/>
    <w:rsid w:val="00AE5EB4"/>
    <w:rsid w:val="00AF0C18"/>
    <w:rsid w:val="00AF47C5"/>
    <w:rsid w:val="00AF5398"/>
    <w:rsid w:val="00B049AF"/>
    <w:rsid w:val="00B06A20"/>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6AF0"/>
    <w:rsid w:val="00B47293"/>
    <w:rsid w:val="00B50E50"/>
    <w:rsid w:val="00B52120"/>
    <w:rsid w:val="00B54137"/>
    <w:rsid w:val="00B54ABC"/>
    <w:rsid w:val="00B54DDE"/>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58D4"/>
    <w:rsid w:val="00BA5B9E"/>
    <w:rsid w:val="00BA7C9A"/>
    <w:rsid w:val="00BB203B"/>
    <w:rsid w:val="00BB5F8F"/>
    <w:rsid w:val="00BB657A"/>
    <w:rsid w:val="00BB6BE5"/>
    <w:rsid w:val="00BC1A4E"/>
    <w:rsid w:val="00BC4790"/>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148"/>
    <w:rsid w:val="00C24C8D"/>
    <w:rsid w:val="00C25FE2"/>
    <w:rsid w:val="00C26B53"/>
    <w:rsid w:val="00C279B2"/>
    <w:rsid w:val="00C33E50"/>
    <w:rsid w:val="00C34C20"/>
    <w:rsid w:val="00C35A3E"/>
    <w:rsid w:val="00C42130"/>
    <w:rsid w:val="00C423A4"/>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61D"/>
    <w:rsid w:val="00CE0C4F"/>
    <w:rsid w:val="00CE30EA"/>
    <w:rsid w:val="00CF048A"/>
    <w:rsid w:val="00CF155A"/>
    <w:rsid w:val="00CF2947"/>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3457"/>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318B"/>
    <w:rsid w:val="00D84941"/>
    <w:rsid w:val="00D84FA1"/>
    <w:rsid w:val="00D851F0"/>
    <w:rsid w:val="00D86DB7"/>
    <w:rsid w:val="00D926D0"/>
    <w:rsid w:val="00D93030"/>
    <w:rsid w:val="00D950E1"/>
    <w:rsid w:val="00D952A6"/>
    <w:rsid w:val="00D97F99"/>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3D93"/>
    <w:rsid w:val="00DF44DE"/>
    <w:rsid w:val="00DF5F11"/>
    <w:rsid w:val="00E01138"/>
    <w:rsid w:val="00E02DFB"/>
    <w:rsid w:val="00E030F9"/>
    <w:rsid w:val="00E0311A"/>
    <w:rsid w:val="00E03138"/>
    <w:rsid w:val="00E06404"/>
    <w:rsid w:val="00E065D2"/>
    <w:rsid w:val="00E11A85"/>
    <w:rsid w:val="00E12495"/>
    <w:rsid w:val="00E15CCD"/>
    <w:rsid w:val="00E17438"/>
    <w:rsid w:val="00E202EF"/>
    <w:rsid w:val="00E210B5"/>
    <w:rsid w:val="00E23D99"/>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3E56"/>
    <w:rsid w:val="00E5408A"/>
    <w:rsid w:val="00E56800"/>
    <w:rsid w:val="00E60C63"/>
    <w:rsid w:val="00E62FF9"/>
    <w:rsid w:val="00E635D6"/>
    <w:rsid w:val="00E63760"/>
    <w:rsid w:val="00E639BC"/>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1326"/>
    <w:rsid w:val="00EA58D1"/>
    <w:rsid w:val="00EA61BC"/>
    <w:rsid w:val="00EA681A"/>
    <w:rsid w:val="00EA735B"/>
    <w:rsid w:val="00EB17DE"/>
    <w:rsid w:val="00EB1E69"/>
    <w:rsid w:val="00EB2086"/>
    <w:rsid w:val="00EB5EDF"/>
    <w:rsid w:val="00EB60FE"/>
    <w:rsid w:val="00EB74DB"/>
    <w:rsid w:val="00EC5359"/>
    <w:rsid w:val="00EC562A"/>
    <w:rsid w:val="00ED067A"/>
    <w:rsid w:val="00ED2B50"/>
    <w:rsid w:val="00EE0350"/>
    <w:rsid w:val="00EE0719"/>
    <w:rsid w:val="00EE09CF"/>
    <w:rsid w:val="00EE0E80"/>
    <w:rsid w:val="00EE54A6"/>
    <w:rsid w:val="00EE613F"/>
    <w:rsid w:val="00EE7295"/>
    <w:rsid w:val="00EE7869"/>
    <w:rsid w:val="00EF054A"/>
    <w:rsid w:val="00EF3235"/>
    <w:rsid w:val="00EF7E72"/>
    <w:rsid w:val="00F06D37"/>
    <w:rsid w:val="00F07B9D"/>
    <w:rsid w:val="00F11586"/>
    <w:rsid w:val="00F1183B"/>
    <w:rsid w:val="00F11C9F"/>
    <w:rsid w:val="00F11DF0"/>
    <w:rsid w:val="00F12263"/>
    <w:rsid w:val="00F1409D"/>
    <w:rsid w:val="00F14214"/>
    <w:rsid w:val="00F157A9"/>
    <w:rsid w:val="00F25BB6"/>
    <w:rsid w:val="00F26B7E"/>
    <w:rsid w:val="00F27A3B"/>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08FB"/>
    <w:rsid w:val="00F71E22"/>
    <w:rsid w:val="00F72142"/>
    <w:rsid w:val="00F72AE7"/>
    <w:rsid w:val="00F72C69"/>
    <w:rsid w:val="00F81141"/>
    <w:rsid w:val="00F833BA"/>
    <w:rsid w:val="00F84FD0"/>
    <w:rsid w:val="00F859A8"/>
    <w:rsid w:val="00F86D87"/>
    <w:rsid w:val="00F9108B"/>
    <w:rsid w:val="00F91349"/>
    <w:rsid w:val="00F93A8A"/>
    <w:rsid w:val="00F95248"/>
    <w:rsid w:val="00F956A9"/>
    <w:rsid w:val="00F963ED"/>
    <w:rsid w:val="00F966CF"/>
    <w:rsid w:val="00F96CAE"/>
    <w:rsid w:val="00F97C99"/>
    <w:rsid w:val="00FA4DAC"/>
    <w:rsid w:val="00FA662D"/>
    <w:rsid w:val="00FA73B1"/>
    <w:rsid w:val="00FB0CB9"/>
    <w:rsid w:val="00FB231D"/>
    <w:rsid w:val="00FB45F1"/>
    <w:rsid w:val="00FB4A72"/>
    <w:rsid w:val="00FB54E8"/>
    <w:rsid w:val="00FB7054"/>
    <w:rsid w:val="00FC17B7"/>
    <w:rsid w:val="00FC2CB7"/>
    <w:rsid w:val="00FC3CF0"/>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622"/>
    <w:rsid w:val="00FF3E7D"/>
    <w:rsid w:val="00FF5B99"/>
    <w:rsid w:val="00FF730C"/>
    <w:rsid w:val="00FF73F4"/>
    <w:rsid w:val="00FF7CE4"/>
    <w:rsid w:val="00FF7E39"/>
    <w:rsid w:val="06E97241"/>
    <w:rsid w:val="0B6B4452"/>
    <w:rsid w:val="0B7C423B"/>
    <w:rsid w:val="13B1664A"/>
    <w:rsid w:val="156033A4"/>
    <w:rsid w:val="161670D8"/>
    <w:rsid w:val="1AFF6057"/>
    <w:rsid w:val="1C6D28B3"/>
    <w:rsid w:val="1E2402AE"/>
    <w:rsid w:val="20AB3138"/>
    <w:rsid w:val="245F0F7A"/>
    <w:rsid w:val="25EB5DE3"/>
    <w:rsid w:val="2B084B9B"/>
    <w:rsid w:val="2F051A9C"/>
    <w:rsid w:val="2F39586E"/>
    <w:rsid w:val="32D44F9C"/>
    <w:rsid w:val="35740BA0"/>
    <w:rsid w:val="396A20C2"/>
    <w:rsid w:val="3D754C12"/>
    <w:rsid w:val="442035AE"/>
    <w:rsid w:val="44DA18CA"/>
    <w:rsid w:val="48270D4B"/>
    <w:rsid w:val="4B247FF5"/>
    <w:rsid w:val="4BCC3B98"/>
    <w:rsid w:val="4E08155A"/>
    <w:rsid w:val="50CA4969"/>
    <w:rsid w:val="526D5CC4"/>
    <w:rsid w:val="53387054"/>
    <w:rsid w:val="571943B8"/>
    <w:rsid w:val="577310F3"/>
    <w:rsid w:val="5ADD738C"/>
    <w:rsid w:val="5BB73A3D"/>
    <w:rsid w:val="635475AE"/>
    <w:rsid w:val="68A81D05"/>
    <w:rsid w:val="6A921F32"/>
    <w:rsid w:val="71CE0EA1"/>
    <w:rsid w:val="72E4277D"/>
    <w:rsid w:val="773851F0"/>
    <w:rsid w:val="77577A5D"/>
    <w:rsid w:val="77AF64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link w:val="3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8"/>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39"/>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0"/>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1"/>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2"/>
    <w:qFormat/>
    <w:uiPriority w:val="0"/>
    <w:pPr>
      <w:keepNext/>
      <w:keepLines/>
      <w:adjustRightInd/>
      <w:spacing w:before="240" w:after="64" w:line="320" w:lineRule="auto"/>
      <w:outlineLvl w:val="8"/>
    </w:pPr>
    <w:rPr>
      <w:rFonts w:ascii="Arial" w:hAnsi="Arial" w:eastAsia="黑体"/>
    </w:rPr>
  </w:style>
  <w:style w:type="character" w:default="1" w:styleId="28">
    <w:name w:val="Default Paragraph Font"/>
    <w:semiHidden/>
    <w:unhideWhenUsed/>
    <w:uiPriority w:val="1"/>
  </w:style>
  <w:style w:type="table" w:default="1" w:styleId="26">
    <w:name w:val="Normal Table"/>
    <w:semiHidden/>
    <w:unhideWhenUsed/>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86"/>
    <w:qFormat/>
    <w:uiPriority w:val="0"/>
    <w:pPr>
      <w:spacing w:after="120"/>
    </w:pPr>
  </w:style>
  <w:style w:type="paragraph" w:styleId="14">
    <w:name w:val="toc 5"/>
    <w:basedOn w:val="1"/>
    <w:next w:val="1"/>
    <w:autoRedefine/>
    <w:unhideWhenUsed/>
    <w:qFormat/>
    <w:uiPriority w:val="39"/>
    <w:pPr>
      <w:ind w:left="839"/>
    </w:pPr>
    <w:rPr>
      <w:rFonts w:ascii="宋体"/>
    </w:rPr>
  </w:style>
  <w:style w:type="paragraph" w:styleId="15">
    <w:name w:val="toc 3"/>
    <w:basedOn w:val="1"/>
    <w:next w:val="1"/>
    <w:autoRedefine/>
    <w:unhideWhenUsed/>
    <w:qFormat/>
    <w:uiPriority w:val="39"/>
    <w:pPr>
      <w:spacing w:line="300" w:lineRule="exact"/>
      <w:ind w:left="420"/>
    </w:pPr>
    <w:rPr>
      <w:rFonts w:ascii="宋体"/>
    </w:rPr>
  </w:style>
  <w:style w:type="paragraph" w:styleId="16">
    <w:name w:val="Balloon Text"/>
    <w:basedOn w:val="1"/>
    <w:link w:val="45"/>
    <w:semiHidden/>
    <w:unhideWhenUsed/>
    <w:qFormat/>
    <w:uiPriority w:val="99"/>
    <w:rPr>
      <w:sz w:val="18"/>
      <w:szCs w:val="18"/>
    </w:rPr>
  </w:style>
  <w:style w:type="paragraph" w:styleId="17">
    <w:name w:val="footer"/>
    <w:basedOn w:val="1"/>
    <w:link w:val="44"/>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3"/>
    <w:qFormat/>
    <w:uiPriority w:val="99"/>
    <w:pPr>
      <w:tabs>
        <w:tab w:val="center" w:pos="4153"/>
        <w:tab w:val="right" w:pos="8306"/>
      </w:tabs>
      <w:adjustRightInd/>
      <w:snapToGrid w:val="0"/>
      <w:jc w:val="center"/>
    </w:pPr>
    <w:rPr>
      <w:sz w:val="18"/>
      <w:szCs w:val="18"/>
    </w:rPr>
  </w:style>
  <w:style w:type="paragraph" w:styleId="19">
    <w:name w:val="toc 1"/>
    <w:basedOn w:val="1"/>
    <w:next w:val="1"/>
    <w:autoRedefine/>
    <w:unhideWhenUsed/>
    <w:qFormat/>
    <w:uiPriority w:val="39"/>
    <w:rPr>
      <w:rFonts w:ascii="宋体"/>
    </w:rPr>
  </w:style>
  <w:style w:type="paragraph" w:styleId="20">
    <w:name w:val="toc 4"/>
    <w:basedOn w:val="1"/>
    <w:next w:val="1"/>
    <w:autoRedefine/>
    <w:unhideWhenUsed/>
    <w:qFormat/>
    <w:uiPriority w:val="39"/>
    <w:pPr>
      <w:tabs>
        <w:tab w:val="right" w:leader="dot" w:pos="9344"/>
      </w:tabs>
      <w:spacing w:line="300" w:lineRule="exact"/>
      <w:ind w:left="629"/>
    </w:pPr>
    <w:rPr>
      <w:rFonts w:ascii="宋体"/>
    </w:rPr>
  </w:style>
  <w:style w:type="paragraph" w:styleId="21">
    <w:name w:val="footnote text"/>
    <w:basedOn w:val="1"/>
    <w:next w:val="1"/>
    <w:link w:val="99"/>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autoRedefine/>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autoRedefine/>
    <w:unhideWhenUsed/>
    <w:qFormat/>
    <w:uiPriority w:val="39"/>
    <w:pPr>
      <w:tabs>
        <w:tab w:val="right" w:leader="dot" w:pos="9344"/>
      </w:tabs>
      <w:spacing w:line="300" w:lineRule="exact"/>
      <w:ind w:left="210"/>
    </w:pPr>
    <w:rPr>
      <w:rFonts w:ascii="宋体"/>
    </w:rPr>
  </w:style>
  <w:style w:type="paragraph" w:styleId="25">
    <w:name w:val="Title"/>
    <w:basedOn w:val="1"/>
    <w:link w:val="48"/>
    <w:qFormat/>
    <w:uiPriority w:val="0"/>
    <w:pPr>
      <w:spacing w:before="240" w:after="60"/>
      <w:jc w:val="center"/>
      <w:outlineLvl w:val="0"/>
    </w:pPr>
    <w:rPr>
      <w:rFonts w:ascii="Arial" w:hAnsi="Arial" w:cs="Arial"/>
      <w:b/>
      <w:bCs/>
      <w:sz w:val="32"/>
      <w:szCs w:val="32"/>
    </w:rPr>
  </w:style>
  <w:style w:type="table" w:styleId="27">
    <w:name w:val="Table Grid"/>
    <w:basedOn w:val="2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22"/>
    <w:rPr>
      <w:b/>
      <w:bCs/>
    </w:rPr>
  </w:style>
  <w:style w:type="character" w:styleId="30">
    <w:name w:val="page number"/>
    <w:qFormat/>
    <w:uiPriority w:val="0"/>
    <w:rPr>
      <w:rFonts w:ascii="宋体" w:hAnsi="Times New Roman" w:eastAsia="宋体"/>
      <w:sz w:val="18"/>
    </w:rPr>
  </w:style>
  <w:style w:type="character" w:styleId="31">
    <w:name w:val="Emphasis"/>
    <w:qFormat/>
    <w:uiPriority w:val="20"/>
    <w:rPr>
      <w:i/>
      <w:iCs/>
    </w:rPr>
  </w:style>
  <w:style w:type="character" w:styleId="32">
    <w:name w:val="Hyperlink"/>
    <w:qFormat/>
    <w:uiPriority w:val="99"/>
    <w:rPr>
      <w:rFonts w:ascii="宋体" w:hAnsi="Times New Roman" w:eastAsia="宋体"/>
      <w:color w:val="auto"/>
      <w:spacing w:val="0"/>
      <w:w w:val="100"/>
      <w:position w:val="0"/>
      <w:sz w:val="21"/>
      <w:u w:val="none"/>
      <w:vertAlign w:val="baseline"/>
    </w:rPr>
  </w:style>
  <w:style w:type="character" w:styleId="33">
    <w:name w:val="footnote reference"/>
    <w:semiHidden/>
    <w:qFormat/>
    <w:uiPriority w:val="0"/>
    <w:rPr>
      <w:rFonts w:ascii="宋体" w:hAnsi="宋体" w:eastAsia="宋体" w:cs="Times New Roman"/>
      <w:spacing w:val="0"/>
      <w:sz w:val="18"/>
      <w:vertAlign w:val="superscript"/>
    </w:rPr>
  </w:style>
  <w:style w:type="character" w:customStyle="1" w:styleId="34">
    <w:name w:val="标题 1 字符"/>
    <w:link w:val="2"/>
    <w:qFormat/>
    <w:uiPriority w:val="0"/>
    <w:rPr>
      <w:b/>
      <w:bCs/>
      <w:kern w:val="44"/>
      <w:sz w:val="44"/>
      <w:szCs w:val="44"/>
    </w:rPr>
  </w:style>
  <w:style w:type="character" w:customStyle="1" w:styleId="35">
    <w:name w:val="标题 2 字符"/>
    <w:link w:val="3"/>
    <w:qFormat/>
    <w:uiPriority w:val="0"/>
    <w:rPr>
      <w:rFonts w:ascii="Arial" w:hAnsi="Arial" w:eastAsia="黑体"/>
      <w:b/>
      <w:bCs/>
      <w:kern w:val="2"/>
      <w:sz w:val="32"/>
      <w:szCs w:val="32"/>
    </w:rPr>
  </w:style>
  <w:style w:type="character" w:customStyle="1" w:styleId="36">
    <w:name w:val="标题 3 字符"/>
    <w:link w:val="4"/>
    <w:qFormat/>
    <w:uiPriority w:val="0"/>
    <w:rPr>
      <w:b/>
      <w:bCs/>
      <w:kern w:val="2"/>
      <w:sz w:val="32"/>
      <w:szCs w:val="32"/>
    </w:rPr>
  </w:style>
  <w:style w:type="character" w:customStyle="1" w:styleId="37">
    <w:name w:val="标题 4 字符"/>
    <w:link w:val="5"/>
    <w:qFormat/>
    <w:uiPriority w:val="0"/>
    <w:rPr>
      <w:rFonts w:ascii="Arial" w:hAnsi="Arial" w:eastAsia="黑体"/>
      <w:b/>
      <w:bCs/>
      <w:kern w:val="2"/>
      <w:sz w:val="28"/>
      <w:szCs w:val="28"/>
    </w:rPr>
  </w:style>
  <w:style w:type="character" w:customStyle="1" w:styleId="38">
    <w:name w:val="标题 5 字符"/>
    <w:link w:val="6"/>
    <w:qFormat/>
    <w:uiPriority w:val="0"/>
    <w:rPr>
      <w:b/>
      <w:bCs/>
      <w:kern w:val="2"/>
      <w:sz w:val="28"/>
      <w:szCs w:val="28"/>
    </w:rPr>
  </w:style>
  <w:style w:type="character" w:customStyle="1" w:styleId="39">
    <w:name w:val="标题 6 字符"/>
    <w:link w:val="7"/>
    <w:qFormat/>
    <w:uiPriority w:val="0"/>
    <w:rPr>
      <w:rFonts w:ascii="Arial" w:hAnsi="Arial" w:eastAsia="黑体"/>
      <w:b/>
      <w:bCs/>
      <w:kern w:val="2"/>
      <w:sz w:val="24"/>
      <w:szCs w:val="24"/>
    </w:rPr>
  </w:style>
  <w:style w:type="character" w:customStyle="1" w:styleId="40">
    <w:name w:val="标题 7 字符"/>
    <w:link w:val="8"/>
    <w:qFormat/>
    <w:uiPriority w:val="0"/>
    <w:rPr>
      <w:b/>
      <w:bCs/>
      <w:kern w:val="2"/>
      <w:sz w:val="24"/>
      <w:szCs w:val="24"/>
    </w:rPr>
  </w:style>
  <w:style w:type="character" w:customStyle="1" w:styleId="41">
    <w:name w:val="标题 8 字符"/>
    <w:link w:val="9"/>
    <w:qFormat/>
    <w:uiPriority w:val="0"/>
    <w:rPr>
      <w:rFonts w:ascii="Arial" w:hAnsi="Arial" w:eastAsia="黑体"/>
      <w:kern w:val="2"/>
      <w:sz w:val="24"/>
      <w:szCs w:val="24"/>
    </w:rPr>
  </w:style>
  <w:style w:type="character" w:customStyle="1" w:styleId="42">
    <w:name w:val="标题 9 字符"/>
    <w:link w:val="10"/>
    <w:qFormat/>
    <w:uiPriority w:val="0"/>
    <w:rPr>
      <w:rFonts w:ascii="Arial" w:hAnsi="Arial" w:eastAsia="黑体"/>
      <w:kern w:val="2"/>
      <w:sz w:val="21"/>
      <w:szCs w:val="21"/>
    </w:rPr>
  </w:style>
  <w:style w:type="character" w:customStyle="1" w:styleId="43">
    <w:name w:val="页眉 字符"/>
    <w:link w:val="18"/>
    <w:qFormat/>
    <w:uiPriority w:val="99"/>
    <w:rPr>
      <w:kern w:val="2"/>
      <w:sz w:val="18"/>
      <w:szCs w:val="18"/>
    </w:rPr>
  </w:style>
  <w:style w:type="character" w:customStyle="1" w:styleId="44">
    <w:name w:val="页脚 字符"/>
    <w:link w:val="17"/>
    <w:qFormat/>
    <w:uiPriority w:val="99"/>
    <w:rPr>
      <w:rFonts w:ascii="宋体"/>
      <w:kern w:val="2"/>
      <w:sz w:val="18"/>
      <w:szCs w:val="18"/>
    </w:rPr>
  </w:style>
  <w:style w:type="character" w:customStyle="1" w:styleId="45">
    <w:name w:val="批注框文本 字符"/>
    <w:link w:val="16"/>
    <w:semiHidden/>
    <w:qFormat/>
    <w:uiPriority w:val="99"/>
    <w:rPr>
      <w:kern w:val="2"/>
      <w:sz w:val="18"/>
      <w:szCs w:val="18"/>
    </w:rPr>
  </w:style>
  <w:style w:type="paragraph" w:styleId="46">
    <w:name w:val="Quote"/>
    <w:basedOn w:val="1"/>
    <w:next w:val="1"/>
    <w:link w:val="47"/>
    <w:qFormat/>
    <w:uiPriority w:val="29"/>
    <w:rPr>
      <w:i/>
      <w:iCs/>
      <w:color w:val="000000"/>
    </w:rPr>
  </w:style>
  <w:style w:type="character" w:customStyle="1" w:styleId="47">
    <w:name w:val="引用 字符"/>
    <w:link w:val="46"/>
    <w:qFormat/>
    <w:uiPriority w:val="29"/>
    <w:rPr>
      <w:i/>
      <w:iCs/>
      <w:color w:val="000000"/>
      <w:kern w:val="2"/>
      <w:sz w:val="21"/>
      <w:szCs w:val="21"/>
    </w:rPr>
  </w:style>
  <w:style w:type="character" w:customStyle="1" w:styleId="48">
    <w:name w:val="标题 字符"/>
    <w:link w:val="25"/>
    <w:qFormat/>
    <w:uiPriority w:val="0"/>
    <w:rPr>
      <w:rFonts w:ascii="Arial" w:hAnsi="Arial" w:cs="Arial"/>
      <w:b/>
      <w:bCs/>
      <w:kern w:val="2"/>
      <w:sz w:val="32"/>
      <w:szCs w:val="32"/>
    </w:rPr>
  </w:style>
  <w:style w:type="paragraph" w:customStyle="1" w:styleId="4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0">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2">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3">
    <w:name w:val="标准书眉一"/>
    <w:qFormat/>
    <w:uiPriority w:val="0"/>
    <w:pPr>
      <w:jc w:val="both"/>
    </w:pPr>
    <w:rPr>
      <w:rFonts w:ascii="Times New Roman" w:hAnsi="Times New Roman" w:eastAsia="宋体" w:cs="Times New Roman"/>
      <w:lang w:val="en-US" w:eastAsia="zh-CN" w:bidi="ar-SA"/>
    </w:rPr>
  </w:style>
  <w:style w:type="paragraph" w:customStyle="1" w:styleId="54">
    <w:name w:val="标准文件_ICS"/>
    <w:basedOn w:val="1"/>
    <w:qFormat/>
    <w:uiPriority w:val="0"/>
    <w:pPr>
      <w:spacing w:line="0" w:lineRule="atLeast"/>
    </w:pPr>
    <w:rPr>
      <w:rFonts w:ascii="黑体" w:hAnsi="宋体" w:eastAsia="黑体"/>
    </w:rPr>
  </w:style>
  <w:style w:type="paragraph" w:customStyle="1" w:styleId="55">
    <w:name w:val="标准文件_标准正文"/>
    <w:basedOn w:val="1"/>
    <w:next w:val="56"/>
    <w:qFormat/>
    <w:uiPriority w:val="0"/>
    <w:pPr>
      <w:snapToGrid w:val="0"/>
      <w:ind w:firstLine="200" w:firstLineChars="200"/>
    </w:pPr>
    <w:rPr>
      <w:kern w:val="0"/>
    </w:rPr>
  </w:style>
  <w:style w:type="paragraph" w:customStyle="1" w:styleId="56">
    <w:name w:val="标准文件_段"/>
    <w:link w:val="184"/>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7">
    <w:name w:val="标准文件_版本"/>
    <w:basedOn w:val="55"/>
    <w:qFormat/>
    <w:uiPriority w:val="0"/>
    <w:pPr>
      <w:adjustRightInd/>
      <w:snapToGrid/>
      <w:ind w:firstLine="0" w:firstLineChars="0"/>
    </w:pPr>
    <w:rPr>
      <w:rFonts w:ascii="宋体" w:hAnsi="宋体"/>
      <w:kern w:val="2"/>
    </w:rPr>
  </w:style>
  <w:style w:type="paragraph" w:customStyle="1" w:styleId="58">
    <w:name w:val="标准文件_标准部门"/>
    <w:basedOn w:val="1"/>
    <w:qFormat/>
    <w:uiPriority w:val="0"/>
    <w:pPr>
      <w:jc w:val="center"/>
    </w:pPr>
    <w:rPr>
      <w:rFonts w:ascii="黑体" w:eastAsia="黑体"/>
      <w:kern w:val="0"/>
      <w:sz w:val="44"/>
    </w:rPr>
  </w:style>
  <w:style w:type="paragraph" w:customStyle="1" w:styleId="59">
    <w:name w:val="标准文件_标准代替"/>
    <w:basedOn w:val="1"/>
    <w:next w:val="1"/>
    <w:qFormat/>
    <w:uiPriority w:val="0"/>
    <w:pPr>
      <w:spacing w:line="310" w:lineRule="exact"/>
      <w:jc w:val="right"/>
    </w:pPr>
    <w:rPr>
      <w:rFonts w:ascii="宋体" w:hAnsi="宋体"/>
      <w:kern w:val="0"/>
    </w:rPr>
  </w:style>
  <w:style w:type="paragraph" w:customStyle="1" w:styleId="60">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1">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2">
    <w:name w:val="标准文件_页眉偶数页"/>
    <w:basedOn w:val="61"/>
    <w:next w:val="1"/>
    <w:qFormat/>
    <w:uiPriority w:val="0"/>
    <w:pPr>
      <w:jc w:val="left"/>
    </w:pPr>
  </w:style>
  <w:style w:type="paragraph" w:customStyle="1" w:styleId="63">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4">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5">
    <w:name w:val="标准文件_二级条标题"/>
    <w:next w:val="56"/>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6">
    <w:name w:val="标准文件_发布"/>
    <w:qFormat/>
    <w:uiPriority w:val="0"/>
    <w:rPr>
      <w:rFonts w:ascii="黑体" w:eastAsia="黑体"/>
      <w:spacing w:val="0"/>
      <w:w w:val="100"/>
      <w:position w:val="3"/>
      <w:sz w:val="28"/>
    </w:rPr>
  </w:style>
  <w:style w:type="paragraph" w:customStyle="1" w:styleId="67">
    <w:name w:val="标准文件_方框数字列项"/>
    <w:basedOn w:val="56"/>
    <w:qFormat/>
    <w:uiPriority w:val="0"/>
    <w:pPr>
      <w:numPr>
        <w:ilvl w:val="0"/>
        <w:numId w:val="3"/>
      </w:numPr>
      <w:ind w:firstLine="0" w:firstLineChars="0"/>
    </w:pPr>
  </w:style>
  <w:style w:type="paragraph" w:customStyle="1" w:styleId="68">
    <w:name w:val="标准文件_封面标准编号"/>
    <w:basedOn w:val="1"/>
    <w:next w:val="59"/>
    <w:qFormat/>
    <w:uiPriority w:val="0"/>
    <w:pPr>
      <w:spacing w:line="310" w:lineRule="exact"/>
      <w:jc w:val="right"/>
    </w:pPr>
    <w:rPr>
      <w:rFonts w:ascii="黑体" w:eastAsia="黑体"/>
      <w:kern w:val="0"/>
      <w:sz w:val="28"/>
    </w:rPr>
  </w:style>
  <w:style w:type="paragraph" w:customStyle="1" w:styleId="69">
    <w:name w:val="标准文件_封面标准分类号"/>
    <w:basedOn w:val="1"/>
    <w:qFormat/>
    <w:uiPriority w:val="0"/>
    <w:rPr>
      <w:rFonts w:ascii="黑体" w:eastAsia="黑体"/>
      <w:b/>
      <w:kern w:val="0"/>
      <w:sz w:val="28"/>
    </w:rPr>
  </w:style>
  <w:style w:type="paragraph" w:customStyle="1" w:styleId="70">
    <w:name w:val="标准文件_封面标准名称"/>
    <w:basedOn w:val="1"/>
    <w:qFormat/>
    <w:uiPriority w:val="0"/>
    <w:pPr>
      <w:spacing w:line="240" w:lineRule="auto"/>
      <w:jc w:val="center"/>
    </w:pPr>
    <w:rPr>
      <w:rFonts w:ascii="黑体" w:eastAsia="黑体"/>
      <w:kern w:val="0"/>
      <w:sz w:val="52"/>
    </w:rPr>
  </w:style>
  <w:style w:type="paragraph" w:customStyle="1" w:styleId="71">
    <w:name w:val="标准文件_封面标准英文名称"/>
    <w:basedOn w:val="1"/>
    <w:qFormat/>
    <w:uiPriority w:val="0"/>
    <w:pPr>
      <w:spacing w:line="240" w:lineRule="auto"/>
      <w:jc w:val="center"/>
    </w:pPr>
    <w:rPr>
      <w:rFonts w:ascii="黑体" w:eastAsia="黑体"/>
      <w:b/>
      <w:sz w:val="28"/>
    </w:rPr>
  </w:style>
  <w:style w:type="paragraph" w:customStyle="1" w:styleId="72">
    <w:name w:val="标准文件_封面发布日期"/>
    <w:basedOn w:val="1"/>
    <w:qFormat/>
    <w:uiPriority w:val="0"/>
    <w:pPr>
      <w:spacing w:line="310" w:lineRule="exact"/>
    </w:pPr>
    <w:rPr>
      <w:rFonts w:ascii="黑体" w:eastAsia="黑体"/>
      <w:kern w:val="0"/>
      <w:sz w:val="28"/>
    </w:rPr>
  </w:style>
  <w:style w:type="paragraph" w:customStyle="1" w:styleId="73">
    <w:name w:val="标准文件_封面密级"/>
    <w:basedOn w:val="1"/>
    <w:qFormat/>
    <w:uiPriority w:val="0"/>
    <w:rPr>
      <w:rFonts w:eastAsia="黑体"/>
      <w:sz w:val="32"/>
    </w:rPr>
  </w:style>
  <w:style w:type="paragraph" w:customStyle="1" w:styleId="74">
    <w:name w:val="标准文件_封面实施日期"/>
    <w:basedOn w:val="1"/>
    <w:qFormat/>
    <w:uiPriority w:val="0"/>
    <w:pPr>
      <w:spacing w:line="310" w:lineRule="exact"/>
      <w:jc w:val="right"/>
    </w:pPr>
    <w:rPr>
      <w:rFonts w:ascii="黑体" w:eastAsia="黑体"/>
      <w:sz w:val="28"/>
    </w:rPr>
  </w:style>
  <w:style w:type="paragraph" w:customStyle="1" w:styleId="75">
    <w:name w:val="标准文件_封面抬头"/>
    <w:basedOn w:val="56"/>
    <w:qFormat/>
    <w:uiPriority w:val="0"/>
    <w:pPr>
      <w:adjustRightInd w:val="0"/>
      <w:spacing w:line="800" w:lineRule="exact"/>
      <w:ind w:firstLine="0" w:firstLineChars="0"/>
      <w:jc w:val="distribute"/>
    </w:pPr>
    <w:rPr>
      <w:rFonts w:ascii="黑体" w:eastAsia="黑体"/>
      <w:b/>
      <w:sz w:val="64"/>
    </w:rPr>
  </w:style>
  <w:style w:type="paragraph" w:customStyle="1" w:styleId="76">
    <w:name w:val="标准文件_附录标识"/>
    <w:next w:val="56"/>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7">
    <w:name w:val="标准文件_附录表标题"/>
    <w:next w:val="56"/>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8">
    <w:name w:val="标准文件_附录一级条标题"/>
    <w:next w:val="56"/>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9">
    <w:name w:val="标准文件_附录二级条标题"/>
    <w:basedOn w:val="78"/>
    <w:next w:val="56"/>
    <w:qFormat/>
    <w:uiPriority w:val="0"/>
    <w:pPr>
      <w:widowControl/>
      <w:numPr>
        <w:ilvl w:val="2"/>
      </w:numPr>
      <w:wordWrap w:val="0"/>
      <w:overflowPunct w:val="0"/>
      <w:autoSpaceDE w:val="0"/>
      <w:autoSpaceDN w:val="0"/>
      <w:textAlignment w:val="baseline"/>
      <w:outlineLvl w:val="3"/>
    </w:pPr>
  </w:style>
  <w:style w:type="paragraph" w:customStyle="1" w:styleId="80">
    <w:name w:val="标准文件_附录公式"/>
    <w:basedOn w:val="55"/>
    <w:next w:val="55"/>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1">
    <w:name w:val="标准文件_附录三级条标题"/>
    <w:next w:val="56"/>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2">
    <w:name w:val="标准文件_附录四级条标题"/>
    <w:next w:val="56"/>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3">
    <w:name w:val="标准文件_附录图标题"/>
    <w:next w:val="56"/>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4">
    <w:name w:val="标准文件_附录五级条标题"/>
    <w:next w:val="56"/>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5">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6">
    <w:name w:val="正文文本 字符"/>
    <w:link w:val="13"/>
    <w:qFormat/>
    <w:uiPriority w:val="0"/>
    <w:rPr>
      <w:kern w:val="2"/>
      <w:sz w:val="21"/>
      <w:szCs w:val="21"/>
    </w:rPr>
  </w:style>
  <w:style w:type="paragraph" w:customStyle="1" w:styleId="87">
    <w:name w:val="标准文件_附录章标题"/>
    <w:next w:val="56"/>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8">
    <w:name w:val="标准文件_公式后的破折号"/>
    <w:basedOn w:val="56"/>
    <w:next w:val="56"/>
    <w:qFormat/>
    <w:uiPriority w:val="0"/>
    <w:pPr>
      <w:ind w:left="488" w:leftChars="200" w:hanging="289" w:hangingChars="290"/>
    </w:pPr>
  </w:style>
  <w:style w:type="paragraph" w:customStyle="1" w:styleId="89">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0">
    <w:name w:val="标准文件_目次、标准名称标题"/>
    <w:basedOn w:val="89"/>
    <w:next w:val="56"/>
    <w:qFormat/>
    <w:uiPriority w:val="0"/>
    <w:pPr>
      <w:spacing w:line="460" w:lineRule="exact"/>
      <w:ind w:left="0" w:firstLine="0"/>
    </w:pPr>
  </w:style>
  <w:style w:type="paragraph" w:customStyle="1" w:styleId="91">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2">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3">
    <w:name w:val="标准文件_破折号列项（二级）"/>
    <w:basedOn w:val="92"/>
    <w:qFormat/>
    <w:uiPriority w:val="0"/>
    <w:pPr>
      <w:numPr>
        <w:numId w:val="10"/>
      </w:numPr>
    </w:pPr>
  </w:style>
  <w:style w:type="paragraph" w:customStyle="1" w:styleId="94">
    <w:name w:val="标准文件_三级条标题"/>
    <w:basedOn w:val="65"/>
    <w:next w:val="56"/>
    <w:qFormat/>
    <w:uiPriority w:val="0"/>
    <w:pPr>
      <w:widowControl/>
      <w:numPr>
        <w:ilvl w:val="4"/>
      </w:numPr>
      <w:outlineLvl w:val="3"/>
    </w:pPr>
  </w:style>
  <w:style w:type="character" w:customStyle="1" w:styleId="95">
    <w:name w:val="不明显参考1"/>
    <w:qFormat/>
    <w:uiPriority w:val="31"/>
    <w:rPr>
      <w:smallCaps/>
      <w:color w:val="C0504D"/>
      <w:u w:val="single"/>
    </w:rPr>
  </w:style>
  <w:style w:type="paragraph" w:customStyle="1" w:styleId="96">
    <w:name w:val="标准文件_示例后续"/>
    <w:basedOn w:val="1"/>
    <w:qFormat/>
    <w:uiPriority w:val="0"/>
    <w:pPr>
      <w:adjustRightInd/>
      <w:spacing w:line="240" w:lineRule="auto"/>
      <w:ind w:firstLine="200" w:firstLineChars="200"/>
    </w:pPr>
    <w:rPr>
      <w:sz w:val="18"/>
      <w:szCs w:val="24"/>
    </w:rPr>
  </w:style>
  <w:style w:type="paragraph" w:customStyle="1" w:styleId="97">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8">
    <w:name w:val="标准文件_四级条标题"/>
    <w:next w:val="56"/>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99">
    <w:name w:val="脚注文本 字符"/>
    <w:link w:val="21"/>
    <w:semiHidden/>
    <w:qFormat/>
    <w:uiPriority w:val="0"/>
    <w:rPr>
      <w:rFonts w:ascii="宋体"/>
      <w:kern w:val="2"/>
      <w:sz w:val="18"/>
      <w:szCs w:val="18"/>
    </w:rPr>
  </w:style>
  <w:style w:type="paragraph" w:customStyle="1" w:styleId="100">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1">
    <w:name w:val="标准文件_图表脚注"/>
    <w:basedOn w:val="1"/>
    <w:next w:val="56"/>
    <w:qFormat/>
    <w:uiPriority w:val="0"/>
    <w:pPr>
      <w:numPr>
        <w:ilvl w:val="0"/>
        <w:numId w:val="12"/>
      </w:numPr>
      <w:spacing w:line="240" w:lineRule="auto"/>
      <w:jc w:val="left"/>
    </w:pPr>
    <w:rPr>
      <w:rFonts w:ascii="宋体" w:hAnsi="宋体"/>
      <w:sz w:val="18"/>
    </w:rPr>
  </w:style>
  <w:style w:type="character" w:customStyle="1" w:styleId="102">
    <w:name w:val="标准文件_图表脚注内容"/>
    <w:qFormat/>
    <w:uiPriority w:val="0"/>
    <w:rPr>
      <w:rFonts w:ascii="宋体" w:hAnsi="宋体" w:eastAsia="宋体" w:cs="Times New Roman"/>
      <w:spacing w:val="0"/>
      <w:sz w:val="18"/>
      <w:vertAlign w:val="superscript"/>
    </w:rPr>
  </w:style>
  <w:style w:type="paragraph" w:customStyle="1" w:styleId="103">
    <w:name w:val="标准文件_五级条标题"/>
    <w:next w:val="56"/>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4">
    <w:name w:val="标准文件_章标题"/>
    <w:next w:val="56"/>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5">
    <w:name w:val="标准文件_一级条标题"/>
    <w:basedOn w:val="104"/>
    <w:next w:val="56"/>
    <w:qFormat/>
    <w:uiPriority w:val="0"/>
    <w:pPr>
      <w:numPr>
        <w:ilvl w:val="2"/>
      </w:numPr>
      <w:spacing w:before="50" w:beforeLines="50" w:after="50" w:afterLines="50"/>
      <w:outlineLvl w:val="1"/>
    </w:pPr>
  </w:style>
  <w:style w:type="paragraph" w:customStyle="1" w:styleId="106">
    <w:name w:val="标准文件_一致程度"/>
    <w:basedOn w:val="1"/>
    <w:qFormat/>
    <w:uiPriority w:val="0"/>
    <w:pPr>
      <w:spacing w:line="440" w:lineRule="exact"/>
      <w:jc w:val="center"/>
    </w:pPr>
    <w:rPr>
      <w:sz w:val="28"/>
    </w:rPr>
  </w:style>
  <w:style w:type="paragraph" w:customStyle="1" w:styleId="107">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8">
    <w:name w:val="标准文件_英文图表脚注"/>
    <w:basedOn w:val="55"/>
    <w:qFormat/>
    <w:uiPriority w:val="0"/>
    <w:pPr>
      <w:widowControl/>
      <w:adjustRightInd/>
      <w:snapToGrid/>
      <w:spacing w:line="240" w:lineRule="auto"/>
      <w:ind w:left="79" w:hanging="79" w:hangingChars="80"/>
    </w:pPr>
    <w:rPr>
      <w:rFonts w:ascii="宋体" w:hAnsi="宋体"/>
    </w:rPr>
  </w:style>
  <w:style w:type="paragraph" w:customStyle="1" w:styleId="109">
    <w:name w:val="标准文件_数字编号列项（二级）"/>
    <w:qFormat/>
    <w:uiPriority w:val="0"/>
    <w:pPr>
      <w:numPr>
        <w:ilvl w:val="1"/>
        <w:numId w:val="13"/>
      </w:numPr>
      <w:tabs>
        <w:tab w:val="left" w:pos="851"/>
      </w:tabs>
      <w:jc w:val="both"/>
    </w:pPr>
    <w:rPr>
      <w:rFonts w:ascii="宋体" w:hAnsi="Times New Roman" w:eastAsia="宋体" w:cs="Times New Roman"/>
      <w:sz w:val="21"/>
      <w:lang w:val="en-US" w:eastAsia="zh-CN" w:bidi="ar-SA"/>
    </w:rPr>
  </w:style>
  <w:style w:type="paragraph" w:customStyle="1" w:styleId="110">
    <w:name w:val="标准文件_英文注："/>
    <w:basedOn w:val="1"/>
    <w:next w:val="56"/>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1">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2">
    <w:name w:val="标准文件_正文表标题"/>
    <w:next w:val="56"/>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3">
    <w:name w:val="标准文件_正文公式"/>
    <w:basedOn w:val="1"/>
    <w:next w:val="55"/>
    <w:qFormat/>
    <w:uiPriority w:val="0"/>
    <w:pPr>
      <w:tabs>
        <w:tab w:val="center" w:pos="4678"/>
        <w:tab w:val="right" w:leader="middleDot" w:pos="9356"/>
      </w:tabs>
      <w:spacing w:line="240" w:lineRule="auto"/>
    </w:pPr>
    <w:rPr>
      <w:rFonts w:ascii="宋体" w:hAnsi="宋体"/>
    </w:rPr>
  </w:style>
  <w:style w:type="paragraph" w:customStyle="1" w:styleId="114">
    <w:name w:val="标准文件_正文图标题"/>
    <w:next w:val="56"/>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英文表标题"/>
    <w:next w:val="56"/>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6">
    <w:name w:val="标准文件_正文英文图标题"/>
    <w:next w:val="56"/>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7">
    <w:name w:val="标准文件_编号列项（三级）"/>
    <w:qFormat/>
    <w:uiPriority w:val="0"/>
    <w:pPr>
      <w:numPr>
        <w:ilvl w:val="2"/>
        <w:numId w:val="13"/>
      </w:numPr>
      <w:tabs>
        <w:tab w:val="left" w:pos="851"/>
      </w:tabs>
    </w:pPr>
    <w:rPr>
      <w:rFonts w:ascii="宋体" w:hAnsi="Times New Roman" w:eastAsia="宋体" w:cs="Times New Roman"/>
      <w:sz w:val="21"/>
      <w:lang w:val="en-US" w:eastAsia="zh-CN" w:bidi="ar-SA"/>
    </w:rPr>
  </w:style>
  <w:style w:type="paragraph" w:customStyle="1" w:styleId="118">
    <w:name w:val="二级无标题条"/>
    <w:basedOn w:val="1"/>
    <w:qFormat/>
    <w:uiPriority w:val="0"/>
    <w:pPr>
      <w:numPr>
        <w:ilvl w:val="3"/>
        <w:numId w:val="20"/>
      </w:numPr>
      <w:adjustRightInd/>
      <w:spacing w:line="240" w:lineRule="auto"/>
    </w:pPr>
    <w:rPr>
      <w:rFonts w:ascii="宋体" w:hAnsi="宋体"/>
      <w:szCs w:val="24"/>
    </w:rPr>
  </w:style>
  <w:style w:type="paragraph" w:customStyle="1" w:styleId="119">
    <w:name w:val="发布部门"/>
    <w:next w:val="56"/>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0">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1">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2">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4">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5">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6">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7">
    <w:name w:val="封面正文"/>
    <w:qFormat/>
    <w:uiPriority w:val="0"/>
    <w:pPr>
      <w:jc w:val="both"/>
    </w:pPr>
    <w:rPr>
      <w:rFonts w:ascii="Times New Roman" w:hAnsi="Times New Roman" w:eastAsia="宋体" w:cs="Times New Roman"/>
      <w:lang w:val="en-US" w:eastAsia="zh-CN" w:bidi="ar-SA"/>
    </w:rPr>
  </w:style>
  <w:style w:type="paragraph" w:customStyle="1" w:styleId="128">
    <w:name w:val="附录二级无标题条"/>
    <w:basedOn w:val="1"/>
    <w:next w:val="56"/>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29">
    <w:name w:val="附录三级无标题条"/>
    <w:basedOn w:val="128"/>
    <w:next w:val="56"/>
    <w:qFormat/>
    <w:uiPriority w:val="0"/>
    <w:pPr>
      <w:outlineLvl w:val="4"/>
    </w:pPr>
  </w:style>
  <w:style w:type="paragraph" w:customStyle="1" w:styleId="130">
    <w:name w:val="附录四级无标题条"/>
    <w:basedOn w:val="129"/>
    <w:next w:val="56"/>
    <w:qFormat/>
    <w:uiPriority w:val="0"/>
    <w:pPr>
      <w:outlineLvl w:val="5"/>
    </w:pPr>
  </w:style>
  <w:style w:type="paragraph" w:customStyle="1" w:styleId="131">
    <w:name w:val="附录图"/>
    <w:next w:val="56"/>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2">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3">
    <w:name w:val="附录五级无标题条"/>
    <w:basedOn w:val="130"/>
    <w:next w:val="56"/>
    <w:qFormat/>
    <w:uiPriority w:val="0"/>
    <w:pPr>
      <w:outlineLvl w:val="6"/>
    </w:pPr>
  </w:style>
  <w:style w:type="paragraph" w:customStyle="1" w:styleId="134">
    <w:name w:val="附录性质"/>
    <w:basedOn w:val="1"/>
    <w:qFormat/>
    <w:uiPriority w:val="0"/>
    <w:pPr>
      <w:widowControl/>
      <w:adjustRightInd/>
      <w:jc w:val="center"/>
    </w:pPr>
    <w:rPr>
      <w:rFonts w:ascii="黑体" w:eastAsia="黑体"/>
    </w:rPr>
  </w:style>
  <w:style w:type="paragraph" w:customStyle="1" w:styleId="135">
    <w:name w:val="附录一级无标题条"/>
    <w:basedOn w:val="87"/>
    <w:next w:val="56"/>
    <w:qFormat/>
    <w:uiPriority w:val="0"/>
    <w:pPr>
      <w:autoSpaceDN w:val="0"/>
      <w:outlineLvl w:val="2"/>
    </w:pPr>
    <w:rPr>
      <w:rFonts w:ascii="宋体" w:hAnsi="宋体" w:eastAsia="宋体"/>
    </w:rPr>
  </w:style>
  <w:style w:type="character" w:customStyle="1" w:styleId="136">
    <w:name w:val="个人答复风格"/>
    <w:qFormat/>
    <w:uiPriority w:val="0"/>
    <w:rPr>
      <w:rFonts w:ascii="Arial" w:hAnsi="Arial" w:eastAsia="宋体" w:cs="Arial"/>
      <w:color w:val="auto"/>
      <w:spacing w:val="0"/>
      <w:sz w:val="20"/>
    </w:rPr>
  </w:style>
  <w:style w:type="character" w:customStyle="1" w:styleId="137">
    <w:name w:val="个人撰写风格"/>
    <w:qFormat/>
    <w:uiPriority w:val="0"/>
    <w:rPr>
      <w:rFonts w:ascii="Arial" w:hAnsi="Arial" w:eastAsia="宋体" w:cs="Arial"/>
      <w:color w:val="auto"/>
      <w:spacing w:val="0"/>
      <w:sz w:val="20"/>
    </w:rPr>
  </w:style>
  <w:style w:type="paragraph" w:customStyle="1" w:styleId="138">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39">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0">
    <w:name w:val="列项·"/>
    <w:basedOn w:val="56"/>
    <w:qFormat/>
    <w:uiPriority w:val="0"/>
    <w:pPr>
      <w:tabs>
        <w:tab w:val="left" w:pos="840"/>
      </w:tabs>
    </w:pPr>
  </w:style>
  <w:style w:type="paragraph" w:customStyle="1" w:styleId="141">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2">
    <w:name w:val="目录 21"/>
    <w:basedOn w:val="1"/>
    <w:next w:val="1"/>
    <w:autoRedefine/>
    <w:semiHidden/>
    <w:qFormat/>
    <w:uiPriority w:val="0"/>
    <w:pPr>
      <w:adjustRightInd/>
      <w:spacing w:line="240" w:lineRule="auto"/>
      <w:jc w:val="left"/>
    </w:pPr>
    <w:rPr>
      <w:bCs/>
      <w:iCs/>
    </w:rPr>
  </w:style>
  <w:style w:type="paragraph" w:customStyle="1" w:styleId="143">
    <w:name w:val="目录 31"/>
    <w:basedOn w:val="1"/>
    <w:next w:val="1"/>
    <w:autoRedefine/>
    <w:semiHidden/>
    <w:qFormat/>
    <w:uiPriority w:val="0"/>
    <w:pPr>
      <w:spacing w:line="240" w:lineRule="auto"/>
    </w:pPr>
    <w:rPr>
      <w:rFonts w:ascii="宋体" w:hAnsi="宋体"/>
      <w:iCs/>
    </w:rPr>
  </w:style>
  <w:style w:type="paragraph" w:customStyle="1" w:styleId="144">
    <w:name w:val="目录 41"/>
    <w:basedOn w:val="1"/>
    <w:next w:val="1"/>
    <w:autoRedefine/>
    <w:semiHidden/>
    <w:qFormat/>
    <w:uiPriority w:val="0"/>
    <w:pPr>
      <w:adjustRightInd/>
      <w:spacing w:line="240" w:lineRule="auto"/>
      <w:jc w:val="left"/>
    </w:pPr>
  </w:style>
  <w:style w:type="paragraph" w:customStyle="1" w:styleId="145">
    <w:name w:val="目录 51"/>
    <w:basedOn w:val="1"/>
    <w:next w:val="1"/>
    <w:autoRedefine/>
    <w:semiHidden/>
    <w:qFormat/>
    <w:uiPriority w:val="0"/>
    <w:pPr>
      <w:spacing w:line="240" w:lineRule="auto"/>
    </w:pPr>
    <w:rPr>
      <w:rFonts w:ascii="宋体" w:hAnsi="宋体"/>
    </w:rPr>
  </w:style>
  <w:style w:type="paragraph" w:customStyle="1" w:styleId="146">
    <w:name w:val="目录 61"/>
    <w:basedOn w:val="1"/>
    <w:next w:val="1"/>
    <w:autoRedefine/>
    <w:semiHidden/>
    <w:qFormat/>
    <w:uiPriority w:val="0"/>
    <w:pPr>
      <w:adjustRightInd/>
      <w:spacing w:line="240" w:lineRule="auto"/>
      <w:jc w:val="left"/>
    </w:pPr>
  </w:style>
  <w:style w:type="paragraph" w:customStyle="1" w:styleId="147">
    <w:name w:val="目录 71"/>
    <w:basedOn w:val="146"/>
    <w:autoRedefine/>
    <w:semiHidden/>
    <w:qFormat/>
    <w:uiPriority w:val="0"/>
    <w:pPr>
      <w:ind w:left="1260"/>
    </w:pPr>
  </w:style>
  <w:style w:type="paragraph" w:customStyle="1" w:styleId="148">
    <w:name w:val="目录 81"/>
    <w:basedOn w:val="147"/>
    <w:autoRedefine/>
    <w:semiHidden/>
    <w:qFormat/>
    <w:uiPriority w:val="0"/>
    <w:pPr>
      <w:ind w:left="1470"/>
    </w:pPr>
  </w:style>
  <w:style w:type="paragraph" w:customStyle="1" w:styleId="149">
    <w:name w:val="目录 91"/>
    <w:basedOn w:val="148"/>
    <w:autoRedefine/>
    <w:semiHidden/>
    <w:qFormat/>
    <w:uiPriority w:val="0"/>
    <w:pPr>
      <w:ind w:left="1680"/>
    </w:pPr>
  </w:style>
  <w:style w:type="paragraph" w:customStyle="1" w:styleId="150">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1">
    <w:name w:val="其他发布部门"/>
    <w:basedOn w:val="119"/>
    <w:qFormat/>
    <w:uiPriority w:val="0"/>
    <w:pPr>
      <w:framePr w:wrap="around"/>
      <w:spacing w:line="0" w:lineRule="atLeast"/>
    </w:pPr>
    <w:rPr>
      <w:rFonts w:ascii="黑体" w:eastAsia="黑体"/>
      <w:b w:val="0"/>
    </w:rPr>
  </w:style>
  <w:style w:type="paragraph" w:customStyle="1" w:styleId="152">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3">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4">
    <w:name w:val="实施日期"/>
    <w:basedOn w:val="120"/>
    <w:qFormat/>
    <w:uiPriority w:val="0"/>
    <w:pPr>
      <w:framePr w:hSpace="0" w:wrap="around" w:xAlign="right"/>
      <w:jc w:val="right"/>
    </w:pPr>
  </w:style>
  <w:style w:type="paragraph" w:customStyle="1" w:styleId="155">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6">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7">
    <w:name w:val="无标题条"/>
    <w:next w:val="56"/>
    <w:qFormat/>
    <w:uiPriority w:val="0"/>
    <w:pPr>
      <w:jc w:val="both"/>
    </w:pPr>
    <w:rPr>
      <w:rFonts w:ascii="宋体" w:hAnsi="宋体" w:eastAsia="宋体" w:cs="Times New Roman"/>
      <w:sz w:val="21"/>
      <w:lang w:val="en-US" w:eastAsia="zh-CN" w:bidi="ar-SA"/>
    </w:rPr>
  </w:style>
  <w:style w:type="paragraph" w:customStyle="1" w:styleId="158">
    <w:name w:val="五级无标题条"/>
    <w:basedOn w:val="1"/>
    <w:qFormat/>
    <w:uiPriority w:val="0"/>
    <w:pPr>
      <w:numPr>
        <w:ilvl w:val="6"/>
        <w:numId w:val="20"/>
      </w:numPr>
      <w:adjustRightInd/>
    </w:pPr>
    <w:rPr>
      <w:szCs w:val="24"/>
    </w:rPr>
  </w:style>
  <w:style w:type="paragraph" w:customStyle="1" w:styleId="159">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0">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1">
    <w:name w:val="注×:后续"/>
    <w:basedOn w:val="160"/>
    <w:qFormat/>
    <w:uiPriority w:val="0"/>
    <w:pPr>
      <w:ind w:left="1406" w:leftChars="0" w:hanging="499" w:firstLineChars="0"/>
    </w:pPr>
  </w:style>
  <w:style w:type="paragraph" w:customStyle="1" w:styleId="162">
    <w:name w:val="标准文件_一级无标题"/>
    <w:basedOn w:val="105"/>
    <w:qFormat/>
    <w:uiPriority w:val="0"/>
    <w:pPr>
      <w:spacing w:before="0" w:beforeLines="0" w:after="0" w:afterLines="0"/>
      <w:outlineLvl w:val="9"/>
    </w:pPr>
    <w:rPr>
      <w:rFonts w:ascii="宋体" w:eastAsia="宋体"/>
    </w:rPr>
  </w:style>
  <w:style w:type="paragraph" w:customStyle="1" w:styleId="163">
    <w:name w:val="标准文件_五级无标题"/>
    <w:basedOn w:val="103"/>
    <w:qFormat/>
    <w:uiPriority w:val="0"/>
    <w:pPr>
      <w:spacing w:before="0" w:beforeLines="0" w:after="0" w:afterLines="0"/>
      <w:outlineLvl w:val="9"/>
    </w:pPr>
    <w:rPr>
      <w:rFonts w:ascii="宋体" w:eastAsia="宋体"/>
    </w:rPr>
  </w:style>
  <w:style w:type="paragraph" w:customStyle="1" w:styleId="164">
    <w:name w:val="标准文件_三级无标题"/>
    <w:basedOn w:val="94"/>
    <w:qFormat/>
    <w:uiPriority w:val="0"/>
    <w:pPr>
      <w:spacing w:before="0" w:beforeLines="0" w:after="0" w:afterLines="0"/>
      <w:outlineLvl w:val="9"/>
    </w:pPr>
    <w:rPr>
      <w:rFonts w:ascii="宋体" w:eastAsia="宋体"/>
    </w:rPr>
  </w:style>
  <w:style w:type="paragraph" w:customStyle="1" w:styleId="165">
    <w:name w:val="标准文件_二级无标题"/>
    <w:basedOn w:val="65"/>
    <w:qFormat/>
    <w:uiPriority w:val="0"/>
    <w:pPr>
      <w:spacing w:before="0" w:beforeLines="0" w:after="0" w:afterLines="0"/>
      <w:outlineLvl w:val="9"/>
    </w:pPr>
    <w:rPr>
      <w:rFonts w:ascii="宋体" w:eastAsia="宋体"/>
    </w:rPr>
  </w:style>
  <w:style w:type="paragraph" w:customStyle="1" w:styleId="166">
    <w:name w:val="标准_四级无标题"/>
    <w:basedOn w:val="98"/>
    <w:next w:val="56"/>
    <w:qFormat/>
    <w:uiPriority w:val="0"/>
    <w:rPr>
      <w:rFonts w:eastAsia="宋体"/>
    </w:rPr>
  </w:style>
  <w:style w:type="paragraph" w:customStyle="1" w:styleId="167">
    <w:name w:val="标准文件_四级无标题"/>
    <w:basedOn w:val="98"/>
    <w:qFormat/>
    <w:uiPriority w:val="0"/>
    <w:pPr>
      <w:spacing w:before="0" w:beforeLines="0" w:after="0" w:afterLines="0"/>
      <w:outlineLvl w:val="9"/>
    </w:pPr>
    <w:rPr>
      <w:rFonts w:ascii="宋体" w:hAnsi="黑体" w:eastAsia="宋体"/>
      <w:szCs w:val="52"/>
    </w:rPr>
  </w:style>
  <w:style w:type="paragraph" w:customStyle="1" w:styleId="168">
    <w:name w:val="标准文件_大写罗马数字编号列项"/>
    <w:basedOn w:val="56"/>
    <w:qFormat/>
    <w:uiPriority w:val="0"/>
    <w:pPr>
      <w:numPr>
        <w:ilvl w:val="0"/>
        <w:numId w:val="23"/>
      </w:numPr>
      <w:ind w:firstLine="0" w:firstLineChars="0"/>
    </w:pPr>
    <w:rPr>
      <w:rFonts w:ascii="Times New Roman" w:cs="Arial"/>
      <w:szCs w:val="28"/>
    </w:rPr>
  </w:style>
  <w:style w:type="paragraph" w:customStyle="1" w:styleId="169">
    <w:name w:val="标准文件_小写罗马数字编号列项"/>
    <w:basedOn w:val="56"/>
    <w:qFormat/>
    <w:uiPriority w:val="0"/>
    <w:pPr>
      <w:numPr>
        <w:ilvl w:val="0"/>
        <w:numId w:val="24"/>
      </w:numPr>
      <w:ind w:firstLine="0" w:firstLineChars="0"/>
    </w:pPr>
    <w:rPr>
      <w:rFonts w:cs="Arial"/>
      <w:szCs w:val="28"/>
    </w:rPr>
  </w:style>
  <w:style w:type="paragraph" w:customStyle="1" w:styleId="170">
    <w:name w:val="标准文件_附录标题"/>
    <w:basedOn w:val="76"/>
    <w:qFormat/>
    <w:uiPriority w:val="0"/>
    <w:pPr>
      <w:numPr>
        <w:numId w:val="0"/>
      </w:numPr>
      <w:spacing w:after="280"/>
      <w:outlineLvl w:val="9"/>
    </w:pPr>
  </w:style>
  <w:style w:type="paragraph" w:customStyle="1" w:styleId="171">
    <w:name w:val="标准文件_二级项"/>
    <w:qFormat/>
    <w:uiPriority w:val="0"/>
    <w:rPr>
      <w:rFonts w:ascii="宋体" w:hAnsi="Times New Roman" w:eastAsia="宋体" w:cs="Times New Roman"/>
      <w:sz w:val="21"/>
      <w:lang w:val="en-US" w:eastAsia="zh-CN" w:bidi="ar-SA"/>
    </w:rPr>
  </w:style>
  <w:style w:type="paragraph" w:customStyle="1" w:styleId="172">
    <w:name w:val="标准文件_三级项"/>
    <w:basedOn w:val="1"/>
    <w:qFormat/>
    <w:uiPriority w:val="0"/>
    <w:pPr>
      <w:numPr>
        <w:ilvl w:val="2"/>
        <w:numId w:val="21"/>
      </w:numPr>
      <w:spacing w:line="536870612" w:lineRule="auto"/>
    </w:pPr>
    <w:rPr>
      <w:rFonts w:ascii="Times New Roman" w:hAnsi="Times New Roman"/>
    </w:rPr>
  </w:style>
  <w:style w:type="paragraph" w:customStyle="1" w:styleId="173">
    <w:name w:val="图表脚注说明"/>
    <w:basedOn w:val="1"/>
    <w:next w:val="56"/>
    <w:qFormat/>
    <w:uiPriority w:val="0"/>
    <w:pPr>
      <w:numPr>
        <w:ilvl w:val="0"/>
        <w:numId w:val="25"/>
      </w:numPr>
      <w:adjustRightInd/>
      <w:spacing w:line="240" w:lineRule="auto"/>
    </w:pPr>
    <w:rPr>
      <w:rFonts w:ascii="宋体" w:hAnsi="Times New Roman"/>
      <w:sz w:val="18"/>
      <w:szCs w:val="18"/>
    </w:rPr>
  </w:style>
  <w:style w:type="paragraph" w:customStyle="1" w:styleId="174">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5">
    <w:name w:val="标准文件_索引字母"/>
    <w:next w:val="56"/>
    <w:qFormat/>
    <w:uiPriority w:val="0"/>
    <w:pPr>
      <w:jc w:val="center"/>
    </w:pPr>
    <w:rPr>
      <w:rFonts w:ascii="宋体" w:hAnsi="宋体" w:eastAsia="Times New Roman" w:cs="Times New Roman"/>
      <w:b/>
      <w:kern w:val="2"/>
      <w:sz w:val="21"/>
      <w:lang w:val="en-US" w:eastAsia="zh-CN" w:bidi="ar-SA"/>
    </w:rPr>
  </w:style>
  <w:style w:type="paragraph" w:customStyle="1" w:styleId="176">
    <w:name w:val="标准文件_附录前"/>
    <w:next w:val="56"/>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7">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8">
    <w:name w:val="标准文件_表格"/>
    <w:basedOn w:val="56"/>
    <w:qFormat/>
    <w:uiPriority w:val="0"/>
    <w:pPr>
      <w:ind w:firstLine="0" w:firstLineChars="0"/>
      <w:jc w:val="center"/>
    </w:pPr>
    <w:rPr>
      <w:sz w:val="18"/>
    </w:rPr>
  </w:style>
  <w:style w:type="paragraph" w:customStyle="1" w:styleId="179">
    <w:name w:val="标准文件_注："/>
    <w:next w:val="56"/>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0">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示例："/>
    <w:next w:val="182"/>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2">
    <w:name w:val="标准文件_示例内容"/>
    <w:basedOn w:val="56"/>
    <w:qFormat/>
    <w:uiPriority w:val="0"/>
    <w:pPr>
      <w:ind w:firstLine="420"/>
    </w:pPr>
    <w:rPr>
      <w:sz w:val="18"/>
    </w:rPr>
  </w:style>
  <w:style w:type="paragraph" w:customStyle="1" w:styleId="183">
    <w:name w:val="标准文件_示例×："/>
    <w:basedOn w:val="1"/>
    <w:next w:val="182"/>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4">
    <w:name w:val="标准文件_段 Char"/>
    <w:link w:val="56"/>
    <w:qFormat/>
    <w:uiPriority w:val="0"/>
    <w:rPr>
      <w:rFonts w:ascii="宋体" w:hAnsi="Times New Roman"/>
      <w:sz w:val="21"/>
    </w:rPr>
  </w:style>
  <w:style w:type="paragraph" w:customStyle="1" w:styleId="185">
    <w:name w:val="标准文件_表格续"/>
    <w:basedOn w:val="56"/>
    <w:next w:val="56"/>
    <w:qFormat/>
    <w:uiPriority w:val="0"/>
    <w:pPr>
      <w:jc w:val="center"/>
    </w:pPr>
    <w:rPr>
      <w:rFonts w:ascii="黑体" w:hAnsi="黑体" w:eastAsia="黑体"/>
    </w:rPr>
  </w:style>
  <w:style w:type="character" w:styleId="186">
    <w:name w:val="Placeholder Text"/>
    <w:basedOn w:val="28"/>
    <w:semiHidden/>
    <w:qFormat/>
    <w:uiPriority w:val="99"/>
    <w:rPr>
      <w:color w:val="808080"/>
    </w:rPr>
  </w:style>
  <w:style w:type="paragraph" w:customStyle="1" w:styleId="187">
    <w:name w:val="标准文件_二级项2"/>
    <w:basedOn w:val="56"/>
    <w:qFormat/>
    <w:uiPriority w:val="0"/>
    <w:pPr>
      <w:numPr>
        <w:ilvl w:val="1"/>
        <w:numId w:val="21"/>
      </w:numPr>
      <w:ind w:firstLine="0" w:firstLineChars="0"/>
    </w:pPr>
  </w:style>
  <w:style w:type="paragraph" w:customStyle="1" w:styleId="188">
    <w:name w:val="标准文件_三级项2"/>
    <w:basedOn w:val="56"/>
    <w:qFormat/>
    <w:uiPriority w:val="0"/>
    <w:pPr>
      <w:numPr>
        <w:ilvl w:val="0"/>
        <w:numId w:val="30"/>
      </w:numPr>
      <w:spacing w:line="300" w:lineRule="exact"/>
      <w:ind w:firstLineChars="0"/>
    </w:pPr>
    <w:rPr>
      <w:rFonts w:ascii="Times New Roman"/>
    </w:rPr>
  </w:style>
  <w:style w:type="paragraph" w:customStyle="1" w:styleId="189">
    <w:name w:val="标准文件_一级项2"/>
    <w:basedOn w:val="56"/>
    <w:qFormat/>
    <w:uiPriority w:val="0"/>
    <w:pPr>
      <w:numPr>
        <w:ilvl w:val="0"/>
        <w:numId w:val="31"/>
      </w:numPr>
      <w:spacing w:line="300" w:lineRule="exact"/>
      <w:ind w:firstLineChars="0"/>
    </w:pPr>
    <w:rPr>
      <w:rFonts w:ascii="Times New Roman"/>
    </w:rPr>
  </w:style>
  <w:style w:type="paragraph" w:customStyle="1" w:styleId="190">
    <w:name w:val="标准文件_提示"/>
    <w:basedOn w:val="56"/>
    <w:next w:val="56"/>
    <w:qFormat/>
    <w:uiPriority w:val="0"/>
    <w:pPr>
      <w:ind w:firstLine="420"/>
    </w:pPr>
    <w:rPr>
      <w:rFonts w:ascii="黑体" w:eastAsia="黑体"/>
    </w:rPr>
  </w:style>
  <w:style w:type="character" w:customStyle="1" w:styleId="191">
    <w:name w:val="标准文件_来源"/>
    <w:basedOn w:val="28"/>
    <w:qFormat/>
    <w:uiPriority w:val="1"/>
    <w:rPr>
      <w:rFonts w:eastAsia="宋体"/>
      <w:sz w:val="21"/>
    </w:rPr>
  </w:style>
  <w:style w:type="paragraph" w:customStyle="1" w:styleId="192">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3">
    <w:name w:val="其他发布日期"/>
    <w:basedOn w:val="120"/>
    <w:qFormat/>
    <w:uiPriority w:val="0"/>
    <w:pPr>
      <w:framePr w:w="3997" w:h="471" w:hRule="exact" w:hSpace="0" w:vSpace="181" w:wrap="around" w:vAnchor="page" w:hAnchor="page" w:x="1419" w:y="14097"/>
    </w:pPr>
  </w:style>
  <w:style w:type="paragraph" w:customStyle="1" w:styleId="194">
    <w:name w:val="其他实施日期"/>
    <w:basedOn w:val="154"/>
    <w:qFormat/>
    <w:uiPriority w:val="0"/>
    <w:pPr>
      <w:framePr w:w="3997" w:h="471" w:hRule="exact" w:vSpace="181" w:wrap="around" w:vAnchor="page" w:hAnchor="page" w:x="7089" w:y="14097"/>
    </w:pPr>
  </w:style>
  <w:style w:type="paragraph" w:customStyle="1" w:styleId="195">
    <w:name w:val="标准文件_文件编号"/>
    <w:basedOn w:val="56"/>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6">
    <w:name w:val="标准文件_替换文件编号"/>
    <w:basedOn w:val="195"/>
    <w:qFormat/>
    <w:uiPriority w:val="0"/>
    <w:pPr>
      <w:framePr/>
      <w:spacing w:before="57"/>
    </w:pPr>
    <w:rPr>
      <w:sz w:val="21"/>
    </w:rPr>
  </w:style>
  <w:style w:type="paragraph" w:customStyle="1" w:styleId="197">
    <w:name w:val="标准文件_文件名称"/>
    <w:basedOn w:val="56"/>
    <w:next w:val="56"/>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198">
    <w:name w:val="标准文件_附录图标号"/>
    <w:basedOn w:val="56"/>
    <w:next w:val="56"/>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199">
    <w:name w:val="标准文件_附录表标号"/>
    <w:basedOn w:val="56"/>
    <w:next w:val="56"/>
    <w:qFormat/>
    <w:uiPriority w:val="0"/>
    <w:pPr>
      <w:numPr>
        <w:ilvl w:val="0"/>
        <w:numId w:val="5"/>
      </w:numPr>
      <w:spacing w:line="14" w:lineRule="exact"/>
      <w:ind w:firstLine="0" w:firstLineChars="0"/>
      <w:jc w:val="center"/>
    </w:pPr>
    <w:rPr>
      <w:rFonts w:eastAsia="黑体"/>
      <w:vanish/>
      <w:sz w:val="2"/>
    </w:rPr>
  </w:style>
  <w:style w:type="paragraph" w:customStyle="1" w:styleId="200">
    <w:name w:val="标准文件_引言一级条标题"/>
    <w:basedOn w:val="56"/>
    <w:next w:val="56"/>
    <w:qFormat/>
    <w:uiPriority w:val="0"/>
    <w:pPr>
      <w:numPr>
        <w:ilvl w:val="1"/>
        <w:numId w:val="8"/>
      </w:numPr>
      <w:spacing w:before="50" w:beforeLines="50" w:after="50" w:afterLines="50"/>
      <w:ind w:firstLineChars="0"/>
    </w:pPr>
    <w:rPr>
      <w:rFonts w:ascii="黑体" w:eastAsia="黑体"/>
    </w:rPr>
  </w:style>
  <w:style w:type="paragraph" w:customStyle="1" w:styleId="201">
    <w:name w:val="标准文件_引言二级条标题"/>
    <w:basedOn w:val="56"/>
    <w:next w:val="56"/>
    <w:qFormat/>
    <w:uiPriority w:val="0"/>
    <w:pPr>
      <w:numPr>
        <w:ilvl w:val="2"/>
        <w:numId w:val="8"/>
      </w:numPr>
      <w:spacing w:before="50" w:beforeLines="50" w:after="50" w:afterLines="50"/>
      <w:ind w:firstLineChars="0"/>
    </w:pPr>
    <w:rPr>
      <w:rFonts w:ascii="黑体" w:eastAsia="黑体"/>
    </w:rPr>
  </w:style>
  <w:style w:type="paragraph" w:customStyle="1" w:styleId="202">
    <w:name w:val="标准文件_引言三级条标题"/>
    <w:basedOn w:val="56"/>
    <w:next w:val="56"/>
    <w:qFormat/>
    <w:uiPriority w:val="0"/>
    <w:pPr>
      <w:numPr>
        <w:ilvl w:val="3"/>
        <w:numId w:val="8"/>
      </w:numPr>
      <w:spacing w:before="50" w:beforeLines="50" w:after="50" w:afterLines="50"/>
      <w:ind w:firstLineChars="0"/>
    </w:pPr>
    <w:rPr>
      <w:rFonts w:ascii="黑体" w:eastAsia="黑体"/>
    </w:rPr>
  </w:style>
  <w:style w:type="paragraph" w:customStyle="1" w:styleId="203">
    <w:name w:val="标准文件_引言四级条标题"/>
    <w:basedOn w:val="56"/>
    <w:next w:val="56"/>
    <w:qFormat/>
    <w:uiPriority w:val="0"/>
    <w:pPr>
      <w:numPr>
        <w:ilvl w:val="4"/>
        <w:numId w:val="8"/>
      </w:numPr>
      <w:spacing w:before="50" w:beforeLines="50" w:after="50" w:afterLines="50"/>
      <w:ind w:firstLineChars="0"/>
    </w:pPr>
    <w:rPr>
      <w:rFonts w:ascii="黑体" w:eastAsia="黑体"/>
    </w:rPr>
  </w:style>
  <w:style w:type="paragraph" w:customStyle="1" w:styleId="204">
    <w:name w:val="标准文件_引言五级条标题"/>
    <w:basedOn w:val="56"/>
    <w:next w:val="56"/>
    <w:qFormat/>
    <w:uiPriority w:val="0"/>
    <w:pPr>
      <w:numPr>
        <w:ilvl w:val="5"/>
        <w:numId w:val="8"/>
      </w:numPr>
      <w:spacing w:before="50" w:beforeLines="50" w:after="50" w:afterLines="50"/>
      <w:ind w:firstLineChars="0"/>
    </w:pPr>
    <w:rPr>
      <w:rFonts w:ascii="黑体" w:eastAsia="黑体"/>
    </w:rPr>
  </w:style>
  <w:style w:type="paragraph" w:customStyle="1" w:styleId="205">
    <w:name w:val="标准文件_注后"/>
    <w:basedOn w:val="56"/>
    <w:qFormat/>
    <w:uiPriority w:val="0"/>
    <w:pPr>
      <w:ind w:left="811" w:firstLine="0" w:firstLineChars="0"/>
    </w:pPr>
    <w:rPr>
      <w:sz w:val="18"/>
    </w:rPr>
  </w:style>
  <w:style w:type="paragraph" w:customStyle="1" w:styleId="206">
    <w:name w:val="标准文件_注X后"/>
    <w:basedOn w:val="56"/>
    <w:qFormat/>
    <w:uiPriority w:val="0"/>
    <w:pPr>
      <w:ind w:left="811" w:firstLine="0" w:firstLineChars="0"/>
    </w:pPr>
    <w:rPr>
      <w:sz w:val="18"/>
    </w:rPr>
  </w:style>
  <w:style w:type="paragraph" w:customStyle="1" w:styleId="207">
    <w:name w:val="标准文件_示例后"/>
    <w:basedOn w:val="56"/>
    <w:qFormat/>
    <w:uiPriority w:val="0"/>
    <w:pPr>
      <w:ind w:left="964" w:firstLine="0" w:firstLineChars="0"/>
    </w:pPr>
    <w:rPr>
      <w:sz w:val="18"/>
    </w:rPr>
  </w:style>
  <w:style w:type="paragraph" w:customStyle="1" w:styleId="208">
    <w:name w:val="标准文件_示例X后"/>
    <w:basedOn w:val="56"/>
    <w:link w:val="209"/>
    <w:qFormat/>
    <w:uiPriority w:val="0"/>
    <w:pPr>
      <w:ind w:left="1049" w:firstLine="0" w:firstLineChars="0"/>
    </w:pPr>
    <w:rPr>
      <w:sz w:val="18"/>
    </w:rPr>
  </w:style>
  <w:style w:type="character" w:customStyle="1" w:styleId="209">
    <w:name w:val="标准文件_示例X后 字符"/>
    <w:basedOn w:val="184"/>
    <w:link w:val="208"/>
    <w:qFormat/>
    <w:uiPriority w:val="0"/>
    <w:rPr>
      <w:rFonts w:ascii="宋体" w:hAnsi="Times New Roman"/>
      <w:sz w:val="18"/>
    </w:rPr>
  </w:style>
  <w:style w:type="paragraph" w:customStyle="1" w:styleId="210">
    <w:name w:val="标准文件_索引项"/>
    <w:basedOn w:val="56"/>
    <w:next w:val="56"/>
    <w:qFormat/>
    <w:uiPriority w:val="0"/>
    <w:pPr>
      <w:tabs>
        <w:tab w:val="right" w:leader="dot" w:pos="9356"/>
      </w:tabs>
      <w:ind w:left="210" w:hanging="210" w:firstLineChars="0"/>
      <w:jc w:val="left"/>
    </w:pPr>
  </w:style>
  <w:style w:type="paragraph" w:customStyle="1" w:styleId="211">
    <w:name w:val="标准文件_附录一级无标题"/>
    <w:basedOn w:val="78"/>
    <w:qFormat/>
    <w:uiPriority w:val="0"/>
    <w:pPr>
      <w:spacing w:before="0" w:beforeLines="0" w:after="0" w:afterLines="0" w:line="276" w:lineRule="auto"/>
      <w:outlineLvl w:val="9"/>
    </w:pPr>
    <w:rPr>
      <w:rFonts w:ascii="宋体" w:eastAsia="宋体"/>
    </w:rPr>
  </w:style>
  <w:style w:type="paragraph" w:customStyle="1" w:styleId="212">
    <w:name w:val="标准文件_附录二级无标题"/>
    <w:basedOn w:val="79"/>
    <w:qFormat/>
    <w:uiPriority w:val="0"/>
    <w:pPr>
      <w:spacing w:before="0" w:beforeLines="0" w:after="0" w:afterLines="0" w:line="276" w:lineRule="auto"/>
      <w:outlineLvl w:val="9"/>
    </w:pPr>
    <w:rPr>
      <w:rFonts w:ascii="宋体" w:eastAsia="宋体"/>
    </w:rPr>
  </w:style>
  <w:style w:type="paragraph" w:customStyle="1" w:styleId="213">
    <w:name w:val="标准文件_附录三级无标题"/>
    <w:basedOn w:val="81"/>
    <w:qFormat/>
    <w:uiPriority w:val="0"/>
    <w:pPr>
      <w:spacing w:before="0" w:beforeLines="0" w:after="0" w:afterLines="0" w:line="276" w:lineRule="auto"/>
      <w:outlineLvl w:val="9"/>
    </w:pPr>
    <w:rPr>
      <w:rFonts w:ascii="宋体" w:eastAsia="宋体"/>
    </w:rPr>
  </w:style>
  <w:style w:type="paragraph" w:customStyle="1" w:styleId="214">
    <w:name w:val="标准文件_附录四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五级无标题"/>
    <w:basedOn w:val="84"/>
    <w:qFormat/>
    <w:uiPriority w:val="0"/>
    <w:pPr>
      <w:spacing w:before="0" w:beforeLines="0" w:after="0" w:afterLines="0" w:line="276" w:lineRule="auto"/>
      <w:outlineLvl w:val="9"/>
    </w:pPr>
    <w:rPr>
      <w:rFonts w:ascii="宋体" w:eastAsia="宋体"/>
    </w:rPr>
  </w:style>
  <w:style w:type="paragraph" w:customStyle="1" w:styleId="216">
    <w:name w:val="标准文件_引言一级无标题"/>
    <w:basedOn w:val="200"/>
    <w:next w:val="56"/>
    <w:qFormat/>
    <w:uiPriority w:val="0"/>
    <w:pPr>
      <w:spacing w:before="0" w:beforeLines="0" w:after="0" w:afterLines="0" w:line="276" w:lineRule="auto"/>
    </w:pPr>
    <w:rPr>
      <w:rFonts w:ascii="宋体" w:eastAsia="宋体"/>
    </w:rPr>
  </w:style>
  <w:style w:type="paragraph" w:customStyle="1" w:styleId="217">
    <w:name w:val="标准文件_引言二级无标题"/>
    <w:basedOn w:val="201"/>
    <w:next w:val="56"/>
    <w:qFormat/>
    <w:uiPriority w:val="0"/>
    <w:pPr>
      <w:spacing w:before="0" w:beforeLines="0" w:after="0" w:afterLines="0" w:line="276" w:lineRule="auto"/>
    </w:pPr>
    <w:rPr>
      <w:rFonts w:ascii="宋体" w:eastAsia="宋体"/>
    </w:rPr>
  </w:style>
  <w:style w:type="paragraph" w:customStyle="1" w:styleId="218">
    <w:name w:val="标准文件_引言三级无标题"/>
    <w:basedOn w:val="202"/>
    <w:qFormat/>
    <w:uiPriority w:val="0"/>
    <w:pPr>
      <w:spacing w:before="0" w:beforeLines="0" w:after="0" w:afterLines="0" w:line="276" w:lineRule="auto"/>
    </w:pPr>
    <w:rPr>
      <w:rFonts w:ascii="宋体" w:eastAsia="宋体"/>
    </w:rPr>
  </w:style>
  <w:style w:type="paragraph" w:customStyle="1" w:styleId="219">
    <w:name w:val="标准文件_引言四级无标题"/>
    <w:basedOn w:val="203"/>
    <w:next w:val="56"/>
    <w:qFormat/>
    <w:uiPriority w:val="0"/>
    <w:pPr>
      <w:spacing w:before="0" w:beforeLines="0" w:after="0" w:afterLines="0" w:line="276" w:lineRule="auto"/>
    </w:pPr>
    <w:rPr>
      <w:rFonts w:ascii="宋体" w:eastAsia="宋体"/>
    </w:rPr>
  </w:style>
  <w:style w:type="paragraph" w:customStyle="1" w:styleId="220">
    <w:name w:val="标准文件_引言五级无标题"/>
    <w:basedOn w:val="204"/>
    <w:next w:val="56"/>
    <w:qFormat/>
    <w:uiPriority w:val="0"/>
    <w:pPr>
      <w:spacing w:before="0" w:beforeLines="0" w:after="0" w:afterLines="0" w:line="276" w:lineRule="auto"/>
    </w:pPr>
    <w:rPr>
      <w:rFonts w:ascii="宋体" w:eastAsia="宋体"/>
    </w:rPr>
  </w:style>
  <w:style w:type="paragraph" w:customStyle="1" w:styleId="221">
    <w:name w:val="标准文件_索引标题"/>
    <w:basedOn w:val="63"/>
    <w:next w:val="56"/>
    <w:qFormat/>
    <w:uiPriority w:val="0"/>
    <w:rPr>
      <w:rFonts w:hAnsi="黑体"/>
    </w:rPr>
  </w:style>
  <w:style w:type="paragraph" w:customStyle="1" w:styleId="222">
    <w:name w:val="标准文件_脚注内容"/>
    <w:basedOn w:val="56"/>
    <w:qFormat/>
    <w:uiPriority w:val="0"/>
    <w:pPr>
      <w:ind w:left="400" w:leftChars="200" w:hanging="200" w:hangingChars="200"/>
    </w:pPr>
    <w:rPr>
      <w:sz w:val="15"/>
    </w:rPr>
  </w:style>
  <w:style w:type="paragraph" w:customStyle="1" w:styleId="223">
    <w:name w:val="标准文件_术语条一"/>
    <w:basedOn w:val="162"/>
    <w:next w:val="56"/>
    <w:qFormat/>
    <w:uiPriority w:val="0"/>
  </w:style>
  <w:style w:type="paragraph" w:customStyle="1" w:styleId="224">
    <w:name w:val="标准文件_术语条二"/>
    <w:basedOn w:val="165"/>
    <w:next w:val="56"/>
    <w:qFormat/>
    <w:uiPriority w:val="0"/>
  </w:style>
  <w:style w:type="paragraph" w:customStyle="1" w:styleId="225">
    <w:name w:val="标准文件_术语条三"/>
    <w:basedOn w:val="164"/>
    <w:next w:val="56"/>
    <w:qFormat/>
    <w:uiPriority w:val="0"/>
  </w:style>
  <w:style w:type="paragraph" w:customStyle="1" w:styleId="226">
    <w:name w:val="标准文件_术语条四"/>
    <w:basedOn w:val="167"/>
    <w:next w:val="56"/>
    <w:qFormat/>
    <w:uiPriority w:val="0"/>
  </w:style>
  <w:style w:type="paragraph" w:customStyle="1" w:styleId="227">
    <w:name w:val="标准文件_术语条五"/>
    <w:basedOn w:val="163"/>
    <w:next w:val="56"/>
    <w:qFormat/>
    <w:uiPriority w:val="0"/>
  </w:style>
  <w:style w:type="paragraph" w:customStyle="1" w:styleId="22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29">
    <w:name w:val="发布"/>
    <w:basedOn w:val="28"/>
    <w:qFormat/>
    <w:uiPriority w:val="0"/>
    <w:rPr>
      <w:rFonts w:ascii="黑体" w:eastAsia="黑体"/>
      <w:spacing w:val="85"/>
      <w:w w:val="100"/>
      <w:position w:val="3"/>
      <w:sz w:val="28"/>
      <w:szCs w:val="28"/>
    </w:rPr>
  </w:style>
  <w:style w:type="paragraph" w:customStyle="1" w:styleId="230">
    <w:name w:val="表题"/>
    <w:link w:val="231"/>
    <w:autoRedefine/>
    <w:qFormat/>
    <w:uiPriority w:val="0"/>
    <w:pPr>
      <w:keepNext/>
      <w:keepLines/>
      <w:widowControl w:val="0"/>
      <w:topLinePunct/>
      <w:adjustRightInd w:val="0"/>
      <w:spacing w:before="160" w:after="40"/>
      <w:jc w:val="center"/>
    </w:pPr>
    <w:rPr>
      <w:rFonts w:ascii="Arial" w:hAnsi="Arial" w:eastAsia="黑体" w:cs="Times New Roman"/>
      <w:kern w:val="21"/>
      <w:sz w:val="21"/>
      <w:lang w:val="en-GB" w:eastAsia="zh-CN" w:bidi="ar-SA"/>
    </w:rPr>
  </w:style>
  <w:style w:type="character" w:customStyle="1" w:styleId="231">
    <w:name w:val="表题 Char"/>
    <w:link w:val="230"/>
    <w:autoRedefine/>
    <w:qFormat/>
    <w:uiPriority w:val="0"/>
    <w:rPr>
      <w:rFonts w:ascii="Arial" w:hAnsi="Arial" w:eastAsia="黑体"/>
      <w:kern w:val="21"/>
      <w:sz w:val="21"/>
      <w:lang w:val="en-GB"/>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glossaryDocument" Target="glossary/document.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3.jpeg"/><Relationship Id="rId17" Type="http://schemas.openxmlformats.org/officeDocument/2006/relationships/image" Target="media/image2.emf"/><Relationship Id="rId16" Type="http://schemas.openxmlformats.org/officeDocument/2006/relationships/package" Target="embeddings/Microsoft_Visio___1.vsdx"/><Relationship Id="rId15" Type="http://schemas.openxmlformats.org/officeDocument/2006/relationships/image" Target="media/image1.tiff"/><Relationship Id="rId14" Type="http://schemas.openxmlformats.org/officeDocument/2006/relationships/theme" Target="theme/theme1.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75C5679BC6BF451393A5635E09692BF8"/>
        <w:style w:val=""/>
        <w:category>
          <w:name w:val="常规"/>
          <w:gallery w:val="placeholder"/>
        </w:category>
        <w:types>
          <w:type w:val="bbPlcHdr"/>
        </w:types>
        <w:behaviors>
          <w:behavior w:val="content"/>
        </w:behaviors>
        <w:description w:val=""/>
        <w:guid w:val="{12994DCD-B461-444C-B043-BC53B58D4CB7}"/>
      </w:docPartPr>
      <w:docPartBody>
        <w:p w14:paraId="103EF33F">
          <w:pPr>
            <w:pStyle w:val="5"/>
            <w:rPr>
              <w:rFonts w:hint="eastAsia"/>
            </w:rPr>
          </w:pPr>
          <w:r>
            <w:rPr>
              <w:rStyle w:val="4"/>
              <w:rFonts w:hint="eastAsia"/>
            </w:rPr>
            <w:t>单击或点击此处输入文字。</w:t>
          </w:r>
        </w:p>
      </w:docPartBody>
    </w:docPart>
    <w:docPart>
      <w:docPartPr>
        <w:name w:val="B4169FE0D2654F23A43AED82098F7FB0"/>
        <w:style w:val=""/>
        <w:category>
          <w:name w:val="常规"/>
          <w:gallery w:val="placeholder"/>
        </w:category>
        <w:types>
          <w:type w:val="bbPlcHdr"/>
        </w:types>
        <w:behaviors>
          <w:behavior w:val="content"/>
        </w:behaviors>
        <w:description w:val=""/>
        <w:guid w:val="{51977661-12F9-43B9-8F05-3D6E4F9E9D27}"/>
      </w:docPartPr>
      <w:docPartBody>
        <w:p w14:paraId="2342FF92">
          <w:pPr>
            <w:pStyle w:val="6"/>
            <w:rPr>
              <w:rFonts w:hint="eastAsia"/>
            </w:rPr>
          </w:pPr>
          <w:r>
            <w:rPr>
              <w:rStyle w:val="4"/>
              <w:rFonts w:hint="eastAsia"/>
            </w:rPr>
            <w:t>选择一项。</w:t>
          </w:r>
        </w:p>
      </w:docPartBody>
    </w:docPart>
    <w:docPart>
      <w:docPartPr>
        <w:name w:val="8934CFFB69994FB380DD1A27D04433B6"/>
        <w:style w:val=""/>
        <w:category>
          <w:name w:val="常规"/>
          <w:gallery w:val="placeholder"/>
        </w:category>
        <w:types>
          <w:type w:val="bbPlcHdr"/>
        </w:types>
        <w:behaviors>
          <w:behavior w:val="content"/>
        </w:behaviors>
        <w:description w:val=""/>
        <w:guid w:val="{EB632131-45B4-407D-9C33-29D367743DC5}"/>
      </w:docPartPr>
      <w:docPartBody>
        <w:p w14:paraId="496C9B9A">
          <w:pPr>
            <w:pStyle w:val="7"/>
            <w:rPr>
              <w:rFonts w:hint="eastAsia"/>
            </w:rPr>
          </w:pPr>
          <w:r>
            <w:rPr>
              <w:rStyle w:val="4"/>
              <w:rFonts w:hint="eastAsia"/>
            </w:rPr>
            <w:t>选择一项。</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CC1"/>
    <w:rsid w:val="000E56EC"/>
    <w:rsid w:val="00277C95"/>
    <w:rsid w:val="00341CC1"/>
    <w:rsid w:val="00366C08"/>
    <w:rsid w:val="003F2D8B"/>
    <w:rsid w:val="0041064D"/>
    <w:rsid w:val="004767A3"/>
    <w:rsid w:val="0049459A"/>
    <w:rsid w:val="00630644"/>
    <w:rsid w:val="00784282"/>
    <w:rsid w:val="007F4F4F"/>
    <w:rsid w:val="00813A1D"/>
    <w:rsid w:val="00845CDE"/>
    <w:rsid w:val="00967FDC"/>
    <w:rsid w:val="00C169FF"/>
    <w:rsid w:val="00C771D7"/>
    <w:rsid w:val="00C9065E"/>
    <w:rsid w:val="00CC310D"/>
    <w:rsid w:val="00CC3A36"/>
    <w:rsid w:val="00ED63D3"/>
    <w:rsid w:val="00F83C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sdException w:qFormat="1" w:unhideWhenUsed="0" w:uiPriority="99" w:name="Placeholder Text"/>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75C5679BC6BF451393A5635E09692BF8"/>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6">
    <w:name w:val="B4169FE0D2654F23A43AED82098F7FB0"/>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7">
    <w:name w:val="8934CFFB69994FB380DD1A27D04433B6"/>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F03465-9310-430F-A8A0-DFC80D2CA8A6}">
  <ds:schemaRefs/>
</ds:datastoreItem>
</file>

<file path=docProps/app.xml><?xml version="1.0" encoding="utf-8"?>
<Properties xmlns="http://schemas.openxmlformats.org/officeDocument/2006/extended-properties" xmlns:vt="http://schemas.openxmlformats.org/officeDocument/2006/docPropsVTypes">
  <Template>地方标准.dotx</Template>
  <Company>PCMI</Company>
  <Pages>9</Pages>
  <Words>4785</Words>
  <Characters>5208</Characters>
  <Lines>427</Lines>
  <Paragraphs>575</Paragraphs>
  <TotalTime>377</TotalTime>
  <ScaleCrop>false</ScaleCrop>
  <LinksUpToDate>false</LinksUpToDate>
  <CharactersWithSpaces>5318</CharactersWithSpaces>
  <Application>WPS Office_12.1.0.26885_F1E327BC-269C-435d-A152-05C5408002CA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2024-05-06T07:35:00Z</dcterms:created>
  <dc:creator>徐志荣</dc:creator>
  <dc:description>&lt;config cover="true" show_menu="true" version="1.0.0" doctype="SDKXY"&gt;_x000d_
&lt;/config&gt;</dc:description>
  <cp:lastModifiedBy>徐志荣</cp:lastModifiedBy>
  <cp:lastPrinted>2025-06-09T02:05:00Z</cp:lastPrinted>
  <dcterms:modified xsi:type="dcterms:W3CDTF">2026-07-25T07:52:25Z</dcterms:modified>
  <dc:title>地方标准</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eyJoZGlkIjoiYTQ1MmY2MjM4ODc5MTE1NjE4NzQ5OTEyNjkzYjE5MDkiLCJ1c2VySWQiOiI0MTQ3OTMzNjMifQ==</vt:lpwstr>
  </property>
  <property fmtid="{D5CDD505-2E9C-101B-9397-08002B2CF9AE}" pid="15" name="KSOProductBuildVer">
    <vt:lpwstr>2052-12.1.0.26885</vt:lpwstr>
  </property>
  <property fmtid="{D5CDD505-2E9C-101B-9397-08002B2CF9AE}" pid="16" name="ICV">
    <vt:lpwstr>0A224C865C404971B4034B8B3A625FF8_13</vt:lpwstr>
  </property>
</Properties>
</file>